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548" w:rsidRPr="008A71E2" w:rsidRDefault="00BF4548" w:rsidP="008013C9">
      <w:pPr>
        <w:pStyle w:val="Textopadro"/>
        <w:rPr>
          <w:rFonts w:ascii="Times New Roman" w:eastAsia="Times New Roman" w:hAnsi="Times New Roman" w:cs="Times New Roman"/>
          <w:lang w:eastAsia="pt-BR" w:bidi="ar-SA"/>
        </w:rPr>
      </w:pPr>
    </w:p>
    <w:p w:rsidR="00BF4548" w:rsidRPr="008A71E2" w:rsidRDefault="008A71E2" w:rsidP="008013C9">
      <w:pPr>
        <w:pStyle w:val="Ttulo"/>
        <w:jc w:val="center"/>
        <w:rPr>
          <w:rFonts w:ascii="Times New Roman" w:hAnsi="Times New Roman" w:cs="Times New Roman"/>
          <w:sz w:val="24"/>
          <w:szCs w:val="24"/>
        </w:rPr>
      </w:pPr>
      <w:r w:rsidRPr="008A71E2">
        <w:rPr>
          <w:rFonts w:ascii="Times New Roman" w:hAnsi="Times New Roman" w:cs="Times New Roman"/>
          <w:sz w:val="24"/>
          <w:szCs w:val="24"/>
        </w:rPr>
        <w:t xml:space="preserve">Dispensa </w:t>
      </w:r>
      <w:r w:rsidR="00BF4548" w:rsidRPr="008A71E2">
        <w:rPr>
          <w:rFonts w:ascii="Times New Roman" w:hAnsi="Times New Roman" w:cs="Times New Roman"/>
          <w:sz w:val="24"/>
          <w:szCs w:val="24"/>
        </w:rPr>
        <w:t>Nº DL 09/2026</w:t>
      </w:r>
    </w:p>
    <w:p w:rsidR="00BF4548" w:rsidRPr="008A71E2" w:rsidRDefault="00BF4548" w:rsidP="008013C9">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jc w:val="center"/>
        <w:rPr>
          <w:rFonts w:ascii="Times New Roman" w:hAnsi="Times New Roman" w:cs="Times New Roman"/>
          <w:sz w:val="24"/>
          <w:szCs w:val="24"/>
        </w:rPr>
      </w:pPr>
      <w:r w:rsidRPr="008A71E2">
        <w:rPr>
          <w:rFonts w:ascii="Times New Roman" w:hAnsi="Times New Roman" w:cs="Times New Roman"/>
          <w:b/>
          <w:sz w:val="24"/>
          <w:szCs w:val="24"/>
        </w:rPr>
        <w:t>ATA DE REGISTRO DE PREÇOS</w:t>
      </w:r>
    </w:p>
    <w:p w:rsidR="00BF4548" w:rsidRPr="008A71E2" w:rsidRDefault="00BF4548" w:rsidP="008013C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8A71E2">
        <w:rPr>
          <w:rFonts w:ascii="Times New Roman" w:hAnsi="Times New Roman" w:cs="Times New Roman"/>
          <w:sz w:val="24"/>
          <w:szCs w:val="24"/>
        </w:rPr>
        <w:t xml:space="preserve">Aos dias </w:t>
      </w:r>
      <w:r w:rsidR="008A71E2" w:rsidRPr="008A71E2">
        <w:rPr>
          <w:rFonts w:ascii="Times New Roman" w:hAnsi="Times New Roman" w:cs="Times New Roman"/>
          <w:sz w:val="24"/>
          <w:szCs w:val="24"/>
        </w:rPr>
        <w:t xml:space="preserve">04 </w:t>
      </w:r>
      <w:r w:rsidRPr="008A71E2">
        <w:rPr>
          <w:rFonts w:ascii="Times New Roman" w:hAnsi="Times New Roman" w:cs="Times New Roman"/>
          <w:sz w:val="24"/>
          <w:szCs w:val="24"/>
        </w:rPr>
        <w:t>do mês de</w:t>
      </w:r>
      <w:r w:rsidR="008A71E2" w:rsidRPr="008A71E2">
        <w:rPr>
          <w:rFonts w:ascii="Times New Roman" w:hAnsi="Times New Roman" w:cs="Times New Roman"/>
          <w:sz w:val="24"/>
          <w:szCs w:val="24"/>
        </w:rPr>
        <w:t xml:space="preserve"> novembro</w:t>
      </w:r>
      <w:r w:rsidRPr="008A71E2">
        <w:rPr>
          <w:rFonts w:ascii="Times New Roman" w:hAnsi="Times New Roman" w:cs="Times New Roman"/>
          <w:sz w:val="24"/>
          <w:szCs w:val="24"/>
        </w:rPr>
        <w:t xml:space="preserve"> do ano de</w:t>
      </w:r>
      <w:r w:rsidR="008A71E2" w:rsidRPr="008A71E2">
        <w:rPr>
          <w:rFonts w:ascii="Times New Roman" w:hAnsi="Times New Roman" w:cs="Times New Roman"/>
          <w:sz w:val="24"/>
          <w:szCs w:val="24"/>
        </w:rPr>
        <w:t xml:space="preserve"> 2026, a Câmara de Vereadores do </w:t>
      </w:r>
      <w:r w:rsidRPr="008A71E2">
        <w:rPr>
          <w:rFonts w:ascii="Times New Roman" w:hAnsi="Times New Roman" w:cs="Times New Roman"/>
          <w:sz w:val="24"/>
          <w:szCs w:val="24"/>
        </w:rPr>
        <w:t>Município de Agronômica, em face da classificaç</w:t>
      </w:r>
      <w:r w:rsidR="008A71E2" w:rsidRPr="008A71E2">
        <w:rPr>
          <w:rFonts w:ascii="Times New Roman" w:hAnsi="Times New Roman" w:cs="Times New Roman"/>
          <w:sz w:val="24"/>
          <w:szCs w:val="24"/>
        </w:rPr>
        <w:t>ão das propostas apresentadas na</w:t>
      </w:r>
      <w:r w:rsidRPr="008A71E2">
        <w:rPr>
          <w:rFonts w:ascii="Times New Roman" w:hAnsi="Times New Roman" w:cs="Times New Roman"/>
          <w:sz w:val="24"/>
          <w:szCs w:val="24"/>
        </w:rPr>
        <w:t xml:space="preserve"> Dispensa nº DL 09/2026 – Registro de Preços, na Ata de julgamento de preços, RESOLVE registrar os preços </w:t>
      </w:r>
      <w:proofErr w:type="gramStart"/>
      <w:r w:rsidRPr="008A71E2">
        <w:rPr>
          <w:rFonts w:ascii="Times New Roman" w:hAnsi="Times New Roman" w:cs="Times New Roman"/>
          <w:sz w:val="24"/>
          <w:szCs w:val="24"/>
        </w:rPr>
        <w:t>da(</w:t>
      </w:r>
      <w:proofErr w:type="gramEnd"/>
      <w:r w:rsidRPr="008A71E2">
        <w:rPr>
          <w:rFonts w:ascii="Times New Roman" w:hAnsi="Times New Roman" w:cs="Times New Roman"/>
          <w:sz w:val="24"/>
          <w:szCs w:val="24"/>
        </w:rPr>
        <w:t>s) empresas, nas quantidades estimadas, de acordo com a classificação por ela(s) alcançada(s), atendendo as condições previstas no Edital de Licitação e seus Anexos, e em conformidade com as disposições a seguir.</w:t>
      </w: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b/>
          <w:sz w:val="24"/>
          <w:szCs w:val="24"/>
        </w:rPr>
        <w:t>1.</w:t>
      </w:r>
      <w:r w:rsidRPr="008A71E2">
        <w:rPr>
          <w:rFonts w:ascii="Times New Roman" w:hAnsi="Times New Roman" w:cs="Times New Roman"/>
          <w:sz w:val="24"/>
          <w:szCs w:val="24"/>
        </w:rPr>
        <w:t xml:space="preserve"> </w:t>
      </w:r>
      <w:r w:rsidRPr="008A71E2">
        <w:rPr>
          <w:rFonts w:ascii="Times New Roman" w:hAnsi="Times New Roman" w:cs="Times New Roman"/>
          <w:b/>
          <w:sz w:val="24"/>
          <w:szCs w:val="24"/>
        </w:rPr>
        <w:t>DO OBJETO</w:t>
      </w:r>
    </w:p>
    <w:p w:rsidR="00BF4548" w:rsidRPr="008A71E2" w:rsidRDefault="00BF4548" w:rsidP="008013C9">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sz w:val="24"/>
          <w:szCs w:val="24"/>
        </w:rPr>
      </w:pPr>
      <w:r w:rsidRPr="008A71E2">
        <w:rPr>
          <w:rFonts w:ascii="Times New Roman" w:hAnsi="Times New Roman" w:cs="Times New Roman"/>
          <w:sz w:val="24"/>
          <w:szCs w:val="24"/>
        </w:rPr>
        <w:t>1.1 A presente Ata tem por objeto o REGISTRO DE PREÇO PARA AQUISIÇÃO EVENTUAL E PARCELADA DE SUPRIMENTOS PARA IMPRESSORAS, COMPREENDENDO CARTUCHOS DE TINTA E TONERS, ORIGINAIS OU COMPATÍVEIS, CONFORME OS REQUISITOS DE COMPATIBILIDADE E DESEMPENHO ESTABELECIDOS NAS ESPECIFICAÇÕES DOS ITENS, DESTINADOS A ATENDER ÀS NECESSIDADES DA CÂMARA DE VEREADORES DE AGRONÔMICA/SC, DE ACORDO COM AS CONDIÇÕES, QUANTIDADES E EXIGÊNCIAS ESTABELECIDAS NO TERMO DE REFERÊNCIA</w:t>
      </w:r>
      <w:r w:rsidRPr="008A71E2">
        <w:rPr>
          <w:rFonts w:ascii="Times New Roman" w:hAnsi="Times New Roman" w:cs="Times New Roman"/>
          <w:b/>
          <w:sz w:val="24"/>
          <w:szCs w:val="24"/>
        </w:rPr>
        <w:t>, e de acordo com a classificação das empresas para cada item constantes da Ata do Pregão em anexo.</w:t>
      </w:r>
    </w:p>
    <w:p w:rsidR="00A2355A" w:rsidRPr="008A71E2" w:rsidRDefault="00B533A2">
      <w:pPr>
        <w:rPr>
          <w:rFonts w:ascii="Times New Roman" w:hAnsi="Times New Roman" w:cs="Times New Roman"/>
          <w:sz w:val="24"/>
          <w:szCs w:val="24"/>
        </w:rPr>
      </w:pPr>
      <w:r w:rsidRPr="008A71E2">
        <w:rPr>
          <w:rFonts w:ascii="Times New Roman" w:hAnsi="Times New Roman" w:cs="Times New Roman"/>
          <w:b/>
          <w:sz w:val="24"/>
          <w:szCs w:val="24"/>
        </w:rPr>
        <w:t xml:space="preserve"> 3111 - ANDREINI CESAR LOHN - ME (26.641.082/0001-47)</w:t>
      </w:r>
    </w:p>
    <w:tbl>
      <w:tblPr>
        <w:tblW w:w="0" w:type="auto"/>
        <w:tblLook w:val="04A0" w:firstRow="1" w:lastRow="0" w:firstColumn="1" w:lastColumn="0" w:noHBand="0" w:noVBand="1"/>
      </w:tblPr>
      <w:tblGrid>
        <w:gridCol w:w="1396"/>
        <w:gridCol w:w="653"/>
        <w:gridCol w:w="1819"/>
        <w:gridCol w:w="909"/>
        <w:gridCol w:w="835"/>
        <w:gridCol w:w="1322"/>
        <w:gridCol w:w="1090"/>
        <w:gridCol w:w="981"/>
      </w:tblGrid>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b/>
                <w:sz w:val="24"/>
                <w:szCs w:val="24"/>
              </w:rPr>
              <w:t>Data Adjudicação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b/>
                <w:sz w:val="24"/>
                <w:szCs w:val="24"/>
              </w:rPr>
              <w:t>Item</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b/>
                <w:sz w:val="24"/>
                <w:szCs w:val="24"/>
              </w:rPr>
              <w:t>Material/Serviço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b/>
                <w:sz w:val="24"/>
                <w:szCs w:val="24"/>
              </w:rPr>
              <w:t>Unid. medida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b/>
                <w:sz w:val="24"/>
                <w:szCs w:val="24"/>
              </w:rPr>
              <w:t>Marca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b/>
                <w:sz w:val="24"/>
                <w:szCs w:val="24"/>
              </w:rPr>
              <w:t>Quantidade</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b/>
                <w:sz w:val="24"/>
                <w:szCs w:val="24"/>
              </w:rPr>
              <w:t>Valor unitário (R$)</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b/>
                <w:sz w:val="24"/>
                <w:szCs w:val="24"/>
              </w:rPr>
              <w:t>Valor total (R$)</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1</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44923 - Cartucho de tinta amarelo (Yellow)</w:t>
            </w:r>
            <w:r w:rsidRPr="008A71E2">
              <w:rPr>
                <w:rFonts w:ascii="Times New Roman" w:hAnsi="Times New Roman" w:cs="Times New Roman"/>
                <w:sz w:val="24"/>
                <w:szCs w:val="24"/>
              </w:rPr>
              <w:br/>
              <w:t>referência Brother LC406Y, destinado à utilização em impressora multifuncional Brother MFC-J</w:t>
            </w:r>
            <w:r w:rsidRPr="008A71E2">
              <w:rPr>
                <w:rFonts w:ascii="Times New Roman" w:hAnsi="Times New Roman" w:cs="Times New Roman"/>
                <w:sz w:val="24"/>
                <w:szCs w:val="24"/>
              </w:rPr>
              <w:t xml:space="preserve">5855DW. Suprimento original ou compatível de </w:t>
            </w:r>
            <w:r w:rsidRPr="008A71E2">
              <w:rPr>
                <w:rFonts w:ascii="Times New Roman" w:hAnsi="Times New Roman" w:cs="Times New Roman"/>
                <w:sz w:val="24"/>
                <w:szCs w:val="24"/>
              </w:rPr>
              <w:lastRenderedPageBreak/>
              <w:t>qualidade equivalente, novo, não remanufaturado, não recondicionado e em embalagem original adequada, com rendimento mínimo de 1.400 páginas, conforme metodologia de rendimento do fabricante. Deverá ser plenamen</w:t>
            </w:r>
            <w:r w:rsidRPr="008A71E2">
              <w:rPr>
                <w:rFonts w:ascii="Times New Roman" w:hAnsi="Times New Roman" w:cs="Times New Roman"/>
                <w:sz w:val="24"/>
                <w:szCs w:val="24"/>
              </w:rPr>
              <w:t>te compatível com o equipamento, sem causar falhas de reconhecimento, vazamentos ou comprometimento da qualidade de impressão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240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8,00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1.920,00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2</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44924 - Cartucho de tinta ciano (Cyan)</w:t>
            </w:r>
            <w:r w:rsidRPr="008A71E2">
              <w:rPr>
                <w:rFonts w:ascii="Times New Roman" w:hAnsi="Times New Roman" w:cs="Times New Roman"/>
                <w:sz w:val="24"/>
                <w:szCs w:val="24"/>
              </w:rPr>
              <w:br/>
            </w:r>
            <w:r w:rsidRPr="008A71E2">
              <w:rPr>
                <w:rFonts w:ascii="Times New Roman" w:hAnsi="Times New Roman" w:cs="Times New Roman"/>
                <w:sz w:val="24"/>
                <w:szCs w:val="24"/>
              </w:rPr>
              <w:t xml:space="preserve">referência Brother LC406C, destinado à utilização em impressora multifuncional Brother MFC-J5855DW. Suprimento original ou compatível de </w:t>
            </w:r>
            <w:r w:rsidRPr="008A71E2">
              <w:rPr>
                <w:rFonts w:ascii="Times New Roman" w:hAnsi="Times New Roman" w:cs="Times New Roman"/>
                <w:sz w:val="24"/>
                <w:szCs w:val="24"/>
              </w:rPr>
              <w:lastRenderedPageBreak/>
              <w:t>qualidade equivalente, novo, não remanufaturado, não recondicionado e em embalagem original adequada, com rendimento mí</w:t>
            </w:r>
            <w:r w:rsidRPr="008A71E2">
              <w:rPr>
                <w:rFonts w:ascii="Times New Roman" w:hAnsi="Times New Roman" w:cs="Times New Roman"/>
                <w:sz w:val="24"/>
                <w:szCs w:val="24"/>
              </w:rPr>
              <w:t>nimo de 1.400 páginas, conforme metodologia de rendimento do fabricante. Deverá ser plenamente compatível com o equipamento, sem causar falhas de reconhecimento, vazamentos ou comprometimento da qualidade de impressão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240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8,00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1.920,00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3</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44925 - Cartucho de tinta magenta (Magenta)</w:t>
            </w:r>
            <w:r w:rsidRPr="008A71E2">
              <w:rPr>
                <w:rFonts w:ascii="Times New Roman" w:hAnsi="Times New Roman" w:cs="Times New Roman"/>
                <w:sz w:val="24"/>
                <w:szCs w:val="24"/>
              </w:rPr>
              <w:br/>
              <w:t xml:space="preserve">referência Brother LC406M, destinado à utilização em impressora multifuncional Brother MFC-J5855DW. Suprimento original ou compatível de </w:t>
            </w:r>
            <w:r w:rsidRPr="008A71E2">
              <w:rPr>
                <w:rFonts w:ascii="Times New Roman" w:hAnsi="Times New Roman" w:cs="Times New Roman"/>
                <w:sz w:val="24"/>
                <w:szCs w:val="24"/>
              </w:rPr>
              <w:lastRenderedPageBreak/>
              <w:t>qualidade equivalente, novo, não remanufaturado, não recondicionado e em</w:t>
            </w:r>
            <w:r w:rsidRPr="008A71E2">
              <w:rPr>
                <w:rFonts w:ascii="Times New Roman" w:hAnsi="Times New Roman" w:cs="Times New Roman"/>
                <w:sz w:val="24"/>
                <w:szCs w:val="24"/>
              </w:rPr>
              <w:t xml:space="preserve"> embalagem original adequada, com rendimento mínimo de 1.400 páginas, conforme metodologia de rendimento do fabricante. Deverá ser plenamente compatível com o equipamento, sem causar falhas de reconhecimento, vazamentos ou comprometimento da qualidade de i</w:t>
            </w:r>
            <w:r w:rsidRPr="008A71E2">
              <w:rPr>
                <w:rFonts w:ascii="Times New Roman" w:hAnsi="Times New Roman" w:cs="Times New Roman"/>
                <w:sz w:val="24"/>
                <w:szCs w:val="24"/>
              </w:rPr>
              <w:t>mpressão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270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8,00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2.160,00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4</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44926 - Cartucho de tinta preta (Black)</w:t>
            </w:r>
            <w:r w:rsidRPr="008A71E2">
              <w:rPr>
                <w:rFonts w:ascii="Times New Roman" w:hAnsi="Times New Roman" w:cs="Times New Roman"/>
                <w:sz w:val="24"/>
                <w:szCs w:val="24"/>
              </w:rPr>
              <w:br/>
              <w:t xml:space="preserve">referência Brother LC406BK, destinado à utilização em impressora multifuncional Brother MFC-J5855DW. Suprimento original ou compatível de </w:t>
            </w:r>
            <w:r w:rsidRPr="008A71E2">
              <w:rPr>
                <w:rFonts w:ascii="Times New Roman" w:hAnsi="Times New Roman" w:cs="Times New Roman"/>
                <w:sz w:val="24"/>
                <w:szCs w:val="24"/>
              </w:rPr>
              <w:lastRenderedPageBreak/>
              <w:t>qualidade equivalente, novo,</w:t>
            </w:r>
            <w:r w:rsidRPr="008A71E2">
              <w:rPr>
                <w:rFonts w:ascii="Times New Roman" w:hAnsi="Times New Roman" w:cs="Times New Roman"/>
                <w:sz w:val="24"/>
                <w:szCs w:val="24"/>
              </w:rPr>
              <w:t xml:space="preserve"> não remanufaturado, não recondicionado e em embalagem original adequada, com rendimento mínimo de 1.400 páginas, conforme metodologia de rendimento do fabricante. Deverá ser plenamente compatível com o equipamento, sem causar falhas de reconhecimento, vaz</w:t>
            </w:r>
            <w:r w:rsidRPr="008A71E2">
              <w:rPr>
                <w:rFonts w:ascii="Times New Roman" w:hAnsi="Times New Roman" w:cs="Times New Roman"/>
                <w:sz w:val="24"/>
                <w:szCs w:val="24"/>
              </w:rPr>
              <w:t>amentos ou comprometimento da qualidade de impressão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345</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8,00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2.760,00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5</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44927 - Cartucho de toner preto, referência HP 85A / CF285A</w:t>
            </w:r>
            <w:r w:rsidRPr="008A71E2">
              <w:rPr>
                <w:rFonts w:ascii="Times New Roman" w:hAnsi="Times New Roman" w:cs="Times New Roman"/>
                <w:sz w:val="24"/>
                <w:szCs w:val="24"/>
              </w:rPr>
              <w:br/>
            </w:r>
            <w:r w:rsidRPr="008A71E2">
              <w:rPr>
                <w:rFonts w:ascii="Times New Roman" w:hAnsi="Times New Roman" w:cs="Times New Roman"/>
                <w:sz w:val="24"/>
                <w:szCs w:val="24"/>
              </w:rPr>
              <w:t xml:space="preserve">Cartucho de toner preto, referência HP 85A / CF285A, destinado à impressora multifuncional HP LaserJet Pro M1212nf MFP. Produto original ou compatível </w:t>
            </w:r>
            <w:r w:rsidRPr="008A71E2">
              <w:rPr>
                <w:rFonts w:ascii="Times New Roman" w:hAnsi="Times New Roman" w:cs="Times New Roman"/>
                <w:sz w:val="24"/>
                <w:szCs w:val="24"/>
              </w:rPr>
              <w:lastRenderedPageBreak/>
              <w:t>de qualidade equivalente, novo, não remanufaturado e não recondicionado, com rendimento mínimo de 900 pág</w:t>
            </w:r>
            <w:r w:rsidRPr="008A71E2">
              <w:rPr>
                <w:rFonts w:ascii="Times New Roman" w:hAnsi="Times New Roman" w:cs="Times New Roman"/>
                <w:sz w:val="24"/>
                <w:szCs w:val="24"/>
              </w:rPr>
              <w:t>inas, conforme metodologia de rendimento do fabricante. Deverá ser plenamente compatível com o equipamento, permitindo reconhecimento correto do suprimento e impressão com qualidade adequada, sem vazamentos ou danos ao equipamento.U</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80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320,00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6</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44928 - Cartucho de toner preto, referência HP 12A / Q2612A</w:t>
            </w:r>
            <w:r w:rsidRPr="008A71E2">
              <w:rPr>
                <w:rFonts w:ascii="Times New Roman" w:hAnsi="Times New Roman" w:cs="Times New Roman"/>
                <w:sz w:val="24"/>
                <w:szCs w:val="24"/>
              </w:rPr>
              <w:br/>
              <w:t xml:space="preserve">Cartucho de toner preto, referência HP 12A / Q2612A, destinado à impressora HP LaserJet 1020. Produto original ou compatível de qualidade equivalente, novo, não </w:t>
            </w:r>
            <w:r w:rsidRPr="008A71E2">
              <w:rPr>
                <w:rFonts w:ascii="Times New Roman" w:hAnsi="Times New Roman" w:cs="Times New Roman"/>
                <w:sz w:val="24"/>
                <w:szCs w:val="24"/>
              </w:rPr>
              <w:lastRenderedPageBreak/>
              <w:t>remanufaturado e não</w:t>
            </w:r>
            <w:r w:rsidRPr="008A71E2">
              <w:rPr>
                <w:rFonts w:ascii="Times New Roman" w:hAnsi="Times New Roman" w:cs="Times New Roman"/>
                <w:sz w:val="24"/>
                <w:szCs w:val="24"/>
              </w:rPr>
              <w:t xml:space="preserve"> recondicionado, com rendimento mínimo de 900 páginas, conforme metodologia de rendimento do fabricante. Deverá ser plenamente compatível com o equipamento, permitindo reconhecimento correto do suprimento e impressão com qualidade adequada, sem vazamentos </w:t>
            </w:r>
            <w:r w:rsidRPr="008A71E2">
              <w:rPr>
                <w:rFonts w:ascii="Times New Roman" w:hAnsi="Times New Roman" w:cs="Times New Roman"/>
                <w:sz w:val="24"/>
                <w:szCs w:val="24"/>
              </w:rPr>
              <w:t>ou danos ao equipamento.</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80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320,00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7</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44929 - Garrafa de tinta magenta, referência HP GT52</w:t>
            </w:r>
            <w:r w:rsidRPr="008A71E2">
              <w:rPr>
                <w:rFonts w:ascii="Times New Roman" w:hAnsi="Times New Roman" w:cs="Times New Roman"/>
                <w:sz w:val="24"/>
                <w:szCs w:val="24"/>
              </w:rPr>
              <w:br/>
            </w:r>
            <w:r w:rsidRPr="008A71E2">
              <w:rPr>
                <w:rFonts w:ascii="Times New Roman" w:hAnsi="Times New Roman" w:cs="Times New Roman"/>
                <w:sz w:val="24"/>
                <w:szCs w:val="24"/>
              </w:rPr>
              <w:t xml:space="preserve">para utilização em equipamentos de impressão HP compatíveis com o sistema de abastecimento de tinta GT52. Produto original ou compatível de qualidade equivalente, novo, lacrado e em embalagem </w:t>
            </w:r>
            <w:r w:rsidRPr="008A71E2">
              <w:rPr>
                <w:rFonts w:ascii="Times New Roman" w:hAnsi="Times New Roman" w:cs="Times New Roman"/>
                <w:sz w:val="24"/>
                <w:szCs w:val="24"/>
              </w:rPr>
              <w:lastRenderedPageBreak/>
              <w:t>adequada, com tinta de composição e especificações compatíveis c</w:t>
            </w:r>
            <w:r w:rsidRPr="008A71E2">
              <w:rPr>
                <w:rFonts w:ascii="Times New Roman" w:hAnsi="Times New Roman" w:cs="Times New Roman"/>
                <w:sz w:val="24"/>
                <w:szCs w:val="24"/>
              </w:rPr>
              <w:t>om o equipamento, garantindo adequada qualidade de impressão e funcionamento do sistema de tinta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120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480,00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8</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44930 - Garrafa de tinta ciano, referência HP GT52</w:t>
            </w:r>
            <w:r w:rsidRPr="008A71E2">
              <w:rPr>
                <w:rFonts w:ascii="Times New Roman" w:hAnsi="Times New Roman" w:cs="Times New Roman"/>
                <w:sz w:val="24"/>
                <w:szCs w:val="24"/>
              </w:rPr>
              <w:br/>
              <w:t>para utilização em equipamentos de impressão HP compatíveis com o sis</w:t>
            </w:r>
            <w:r w:rsidRPr="008A71E2">
              <w:rPr>
                <w:rFonts w:ascii="Times New Roman" w:hAnsi="Times New Roman" w:cs="Times New Roman"/>
                <w:sz w:val="24"/>
                <w:szCs w:val="24"/>
              </w:rPr>
              <w:t xml:space="preserve">tema de abastecimento de tinta GT52. Produto original ou compatível de qualidade equivalente, novo, lacrado e em embalagem adequada, com tinta de composição e especificações compatíveis com o equipamento, garantindo adequada qualidade de impressão e </w:t>
            </w:r>
            <w:r w:rsidRPr="008A71E2">
              <w:rPr>
                <w:rFonts w:ascii="Times New Roman" w:hAnsi="Times New Roman" w:cs="Times New Roman"/>
                <w:sz w:val="24"/>
                <w:szCs w:val="24"/>
              </w:rPr>
              <w:lastRenderedPageBreak/>
              <w:t>funcio</w:t>
            </w:r>
            <w:r w:rsidRPr="008A71E2">
              <w:rPr>
                <w:rFonts w:ascii="Times New Roman" w:hAnsi="Times New Roman" w:cs="Times New Roman"/>
                <w:sz w:val="24"/>
                <w:szCs w:val="24"/>
              </w:rPr>
              <w:t>namento do sistema de tinta.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120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480,00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9</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44931 - Garrafa de tinta amarelo, referência HP GT52</w:t>
            </w:r>
            <w:r w:rsidRPr="008A71E2">
              <w:rPr>
                <w:rFonts w:ascii="Times New Roman" w:hAnsi="Times New Roman" w:cs="Times New Roman"/>
                <w:sz w:val="24"/>
                <w:szCs w:val="24"/>
              </w:rPr>
              <w:br/>
            </w:r>
            <w:r w:rsidRPr="008A71E2">
              <w:rPr>
                <w:rFonts w:ascii="Times New Roman" w:hAnsi="Times New Roman" w:cs="Times New Roman"/>
                <w:sz w:val="24"/>
                <w:szCs w:val="24"/>
              </w:rPr>
              <w:t>Garrafa de tinta amarelo, referência HP GT52, para utilização em equipamentos de impressão HP compatíveis com o sistema de abastecimento de tinta GT52. Produto original ou compatível de qualidade equivalente, novo, lacrado e em embalagem adequada, com tint</w:t>
            </w:r>
            <w:r w:rsidRPr="008A71E2">
              <w:rPr>
                <w:rFonts w:ascii="Times New Roman" w:hAnsi="Times New Roman" w:cs="Times New Roman"/>
                <w:sz w:val="24"/>
                <w:szCs w:val="24"/>
              </w:rPr>
              <w:t>a de composição e especificações compatíveis com o equipamento, garantindo adequada qualidade de impressão e funcionamento do sistema de tinta.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120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480,00</w:t>
            </w:r>
          </w:p>
        </w:tc>
      </w:tr>
      <w:tr w:rsidR="00A2355A" w:rsidRPr="008A71E2" w:rsidTr="008A71E2">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04/11/2026</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t>10</w:t>
            </w:r>
          </w:p>
        </w:tc>
        <w:tc>
          <w:tcPr>
            <w:tcW w:w="2489" w:type="dxa"/>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44932 - Garrafa de tinta preta, referência HP </w:t>
            </w:r>
            <w:r w:rsidRPr="008A71E2">
              <w:rPr>
                <w:rFonts w:ascii="Times New Roman" w:hAnsi="Times New Roman" w:cs="Times New Roman"/>
                <w:sz w:val="24"/>
                <w:szCs w:val="24"/>
              </w:rPr>
              <w:lastRenderedPageBreak/>
              <w:t>GT53</w:t>
            </w:r>
            <w:r w:rsidRPr="008A71E2">
              <w:rPr>
                <w:rFonts w:ascii="Times New Roman" w:hAnsi="Times New Roman" w:cs="Times New Roman"/>
                <w:sz w:val="24"/>
                <w:szCs w:val="24"/>
              </w:rPr>
              <w:br/>
              <w:t>para utilização em eq</w:t>
            </w:r>
            <w:r w:rsidRPr="008A71E2">
              <w:rPr>
                <w:rFonts w:ascii="Times New Roman" w:hAnsi="Times New Roman" w:cs="Times New Roman"/>
                <w:sz w:val="24"/>
                <w:szCs w:val="24"/>
              </w:rPr>
              <w:t>uipamentos de impressão HP compatíveis com o sistema de abastecimento de tinta GT53. Produto original ou compatível de qualidade equivalente, novo, lacrado e em embalagem adequada, com tinta de composição e especificações compatíveis com o equipamento, gar</w:t>
            </w:r>
            <w:r w:rsidRPr="008A71E2">
              <w:rPr>
                <w:rFonts w:ascii="Times New Roman" w:hAnsi="Times New Roman" w:cs="Times New Roman"/>
                <w:sz w:val="24"/>
                <w:szCs w:val="24"/>
              </w:rPr>
              <w:t>antindo adequada qualidade de impressão e funcionamento do sistema de tinta.</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rPr>
                <w:rFonts w:ascii="Times New Roman" w:hAnsi="Times New Roman" w:cs="Times New Roman"/>
                <w:sz w:val="24"/>
                <w:szCs w:val="24"/>
              </w:rPr>
            </w:pPr>
            <w:r w:rsidRPr="008A71E2">
              <w:rPr>
                <w:rFonts w:ascii="Times New Roman" w:hAnsi="Times New Roman" w:cs="Times New Roman"/>
                <w:sz w:val="24"/>
                <w:szCs w:val="24"/>
              </w:rPr>
              <w:lastRenderedPageBreak/>
              <w:t xml:space="preserve">UN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120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480,00</w:t>
            </w:r>
          </w:p>
        </w:tc>
      </w:tr>
      <w:tr w:rsidR="00A2355A" w:rsidRPr="008A71E2" w:rsidTr="008A71E2">
        <w:tc>
          <w:tcPr>
            <w:tcW w:w="900" w:type="dxa"/>
            <w:gridSpan w:val="6"/>
            <w:tcBorders>
              <w:top w:val="single" w:sz="4" w:space="0" w:color="auto"/>
              <w:left w:val="single" w:sz="4" w:space="0" w:color="auto"/>
              <w:bottom w:val="single" w:sz="4" w:space="0" w:color="auto"/>
              <w:right w:val="single" w:sz="4" w:space="0" w:color="auto"/>
            </w:tcBorders>
          </w:tcPr>
          <w:p w:rsidR="00A2355A" w:rsidRPr="008A71E2" w:rsidRDefault="00B533A2" w:rsidP="008A71E2">
            <w:pPr>
              <w:spacing w:after="0"/>
              <w:jc w:val="both"/>
              <w:rPr>
                <w:rFonts w:ascii="Times New Roman" w:hAnsi="Times New Roman" w:cs="Times New Roman"/>
                <w:sz w:val="24"/>
                <w:szCs w:val="24"/>
              </w:rPr>
            </w:pPr>
            <w:r w:rsidRPr="008A71E2">
              <w:rPr>
                <w:rFonts w:ascii="Times New Roman" w:hAnsi="Times New Roman" w:cs="Times New Roman"/>
                <w:b/>
                <w:sz w:val="24"/>
                <w:szCs w:val="24"/>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B533A2">
            <w:pPr>
              <w:spacing w:after="0"/>
              <w:jc w:val="right"/>
              <w:rPr>
                <w:rFonts w:ascii="Times New Roman" w:hAnsi="Times New Roman" w:cs="Times New Roman"/>
                <w:sz w:val="24"/>
                <w:szCs w:val="24"/>
              </w:rPr>
            </w:pPr>
            <w:r w:rsidRPr="008A71E2">
              <w:rPr>
                <w:rFonts w:ascii="Times New Roman" w:hAnsi="Times New Roman" w:cs="Times New Roman"/>
                <w:sz w:val="24"/>
                <w:szCs w:val="24"/>
              </w:rPr>
              <w:t xml:space="preserve"> 11.320,00</w:t>
            </w:r>
          </w:p>
        </w:tc>
        <w:tc>
          <w:tcPr>
            <w:tcW w:w="900" w:type="dxa"/>
            <w:tcBorders>
              <w:top w:val="single" w:sz="4" w:space="0" w:color="auto"/>
              <w:left w:val="single" w:sz="4" w:space="0" w:color="auto"/>
              <w:bottom w:val="single" w:sz="4" w:space="0" w:color="auto"/>
              <w:right w:val="single" w:sz="4" w:space="0" w:color="auto"/>
            </w:tcBorders>
          </w:tcPr>
          <w:p w:rsidR="00A2355A" w:rsidRPr="008A71E2" w:rsidRDefault="00A2355A">
            <w:pPr>
              <w:spacing w:after="0"/>
              <w:rPr>
                <w:rFonts w:ascii="Times New Roman" w:hAnsi="Times New Roman" w:cs="Times New Roman"/>
                <w:sz w:val="24"/>
                <w:szCs w:val="24"/>
              </w:rPr>
            </w:pPr>
          </w:p>
        </w:tc>
      </w:tr>
    </w:tbl>
    <w:p w:rsidR="00BF4548" w:rsidRPr="008A71E2" w:rsidRDefault="00BF4548" w:rsidP="008013C9">
      <w:pPr>
        <w:jc w:val="both"/>
        <w:rPr>
          <w:rFonts w:ascii="Times New Roman" w:hAnsi="Times New Roman" w:cs="Times New Roman"/>
          <w:b/>
          <w:sz w:val="24"/>
          <w:szCs w:val="24"/>
        </w:rPr>
      </w:pPr>
      <w:r w:rsidRPr="008A71E2">
        <w:rPr>
          <w:rFonts w:ascii="Times New Roman" w:hAnsi="Times New Roman" w:cs="Times New Roman"/>
          <w:b/>
          <w:sz w:val="24"/>
          <w:szCs w:val="24"/>
        </w:rPr>
        <w:t xml:space="preserve">2. CLÁUSULA SEGUNDA – DA VALIDADE DOS PREÇOS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2.1. O prazo de validade da Ata de Registro de Preços será de 12 (doze) meses, a contar da sua assinatura.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2.2. O prazo de validade da Ata de Registro de Preços poderá ser prorrogado, por igual período, desde que comprovado o preço vantajoso, nos termos do art. 84 da Lei Federal nº 14.133, de 2021.</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2.2.1. Em caso de prorrogação da vigência da ata de registro de preços, as quantidades inicialmente registradas serão renovadas, na sua totalidade, independentemente do quantitativo utilizado no período de vigência, não sendo possível cumular com as quantidades não utilizadas.</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sz w:val="24"/>
          <w:szCs w:val="24"/>
        </w:rPr>
      </w:pPr>
      <w:r w:rsidRPr="008A71E2">
        <w:rPr>
          <w:rFonts w:ascii="Times New Roman" w:hAnsi="Times New Roman" w:cs="Times New Roman"/>
          <w:b/>
          <w:sz w:val="24"/>
          <w:szCs w:val="24"/>
        </w:rPr>
        <w:t>3. CLÁUSULA TERCEIRA – DA UTILIZAÇÃO DA ATA DE REGISTRO DE PREÇOS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3.1.</w:t>
      </w:r>
      <w:r w:rsidRPr="008A71E2">
        <w:rPr>
          <w:rFonts w:ascii="Times New Roman" w:hAnsi="Times New Roman" w:cs="Times New Roman"/>
          <w:b/>
          <w:sz w:val="24"/>
          <w:szCs w:val="24"/>
        </w:rPr>
        <w:t xml:space="preserve"> </w:t>
      </w:r>
      <w:r w:rsidRPr="008A71E2">
        <w:rPr>
          <w:rFonts w:ascii="Times New Roman" w:hAnsi="Times New Roman" w:cs="Times New Roman"/>
          <w:sz w:val="24"/>
          <w:szCs w:val="24"/>
        </w:rPr>
        <w:t xml:space="preserve">A presente Ata de Registro de Preços será utilizada pelo </w:t>
      </w:r>
      <w:r w:rsidR="008A71E2" w:rsidRPr="008A71E2">
        <w:rPr>
          <w:rFonts w:ascii="Times New Roman" w:hAnsi="Times New Roman" w:cs="Times New Roman"/>
          <w:sz w:val="24"/>
          <w:szCs w:val="24"/>
        </w:rPr>
        <w:t xml:space="preserve">CÂMARA DE VEREADORES </w:t>
      </w:r>
      <w:r w:rsidRPr="008A71E2">
        <w:rPr>
          <w:rFonts w:ascii="Times New Roman" w:hAnsi="Times New Roman" w:cs="Times New Roman"/>
          <w:sz w:val="24"/>
          <w:szCs w:val="24"/>
        </w:rPr>
        <w:t xml:space="preserve">DE AGRONÔMICA, que será o órgão gerenciados da presente Ata.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3.2. O valor ofertado pela empresa signatária da presente Ata de Registro de Preços é o relacionado na Cláusula Primeira, de acordo com a respectiva classificação no DL 09/2026.</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3.3. Em cada fornecimento decorrente desta Ata, serão observadas as cláusulas e condições constantes do Edital de Pregão Eletrônico nº DL 09/2026 e seus Anexos, que a precederam e integram o presente instrumento de compromisso.</w:t>
      </w:r>
    </w:p>
    <w:p w:rsidR="00BF4548" w:rsidRPr="008A71E2" w:rsidRDefault="00BF4548" w:rsidP="008013C9">
      <w:pPr>
        <w:jc w:val="both"/>
        <w:rPr>
          <w:rFonts w:ascii="Times New Roman" w:hAnsi="Times New Roman" w:cs="Times New Roman"/>
          <w:b/>
          <w:sz w:val="24"/>
          <w:szCs w:val="24"/>
        </w:rPr>
      </w:pP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b/>
          <w:sz w:val="24"/>
          <w:szCs w:val="24"/>
        </w:rPr>
        <w:t xml:space="preserve">4. CLÁUSULA QUARTA – DOTAÇÃO ORÇAMENTÁRIA E PAGAMENTO </w:t>
      </w:r>
      <w:r w:rsidRPr="008A71E2">
        <w:rPr>
          <w:rFonts w:ascii="Times New Roman" w:hAnsi="Times New Roman" w:cs="Times New Roman"/>
          <w:b/>
          <w:sz w:val="24"/>
          <w:szCs w:val="24"/>
        </w:rPr>
        <w:br/>
      </w:r>
      <w:r w:rsidRPr="008A71E2">
        <w:rPr>
          <w:rFonts w:ascii="Times New Roman" w:hAnsi="Times New Roman" w:cs="Times New Roman"/>
          <w:sz w:val="24"/>
          <w:szCs w:val="24"/>
        </w:rPr>
        <w:t>4.1. As despesas decorrentes da presente Ata serão efetuadas à conta do seguinte recurso financeiro:</w:t>
      </w: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sz w:val="24"/>
          <w:szCs w:val="24"/>
        </w:rPr>
        <w:t xml:space="preserve">353 - </w:t>
      </w:r>
      <w:proofErr w:type="gramStart"/>
      <w:r w:rsidRPr="008A71E2">
        <w:rPr>
          <w:rFonts w:ascii="Times New Roman" w:hAnsi="Times New Roman" w:cs="Times New Roman"/>
          <w:sz w:val="24"/>
          <w:szCs w:val="24"/>
        </w:rPr>
        <w:t>7 .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1001 .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1 .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31 .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1 .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2.101 .</w:t>
      </w:r>
      <w:proofErr w:type="gramEnd"/>
      <w:r w:rsidRPr="008A71E2">
        <w:rPr>
          <w:rFonts w:ascii="Times New Roman" w:hAnsi="Times New Roman" w:cs="Times New Roman"/>
          <w:sz w:val="24"/>
          <w:szCs w:val="24"/>
        </w:rPr>
        <w:t xml:space="preserve"> </w:t>
      </w:r>
      <w:proofErr w:type="gramStart"/>
      <w:r w:rsidRPr="008A71E2">
        <w:rPr>
          <w:rFonts w:ascii="Times New Roman" w:hAnsi="Times New Roman" w:cs="Times New Roman"/>
          <w:sz w:val="24"/>
          <w:szCs w:val="24"/>
        </w:rPr>
        <w:t>0 .</w:t>
      </w:r>
      <w:proofErr w:type="gramEnd"/>
      <w:r w:rsidRPr="008A71E2">
        <w:rPr>
          <w:rFonts w:ascii="Times New Roman" w:hAnsi="Times New Roman" w:cs="Times New Roman"/>
          <w:sz w:val="24"/>
          <w:szCs w:val="24"/>
        </w:rPr>
        <w:t xml:space="preserve"> 339000 Aplicações Diretas </w:t>
      </w: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sz w:val="24"/>
          <w:szCs w:val="24"/>
        </w:rPr>
        <w:t>4.2. O pagamento será efetuado pelo Município, em até 30 (trinta) dias após a emissão da Nota Fiscal, mediante recebimento definitivo do objeto, cujo pagamento será efetuado através de crédito em conta corrente em banco, número e agência indicados, diretamente ao fornecedor.</w:t>
      </w: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sz w:val="24"/>
          <w:szCs w:val="24"/>
        </w:rPr>
        <w:t>4.3. O recebimento definitivo implica na entrega total dos itens pela empresa, em todos os locais e resolução de todas as pendências.</w:t>
      </w:r>
    </w:p>
    <w:p w:rsidR="00BF4548" w:rsidRPr="008A71E2" w:rsidRDefault="00BF4548" w:rsidP="008013C9">
      <w:pPr>
        <w:jc w:val="both"/>
        <w:rPr>
          <w:rFonts w:ascii="Times New Roman" w:hAnsi="Times New Roman" w:cs="Times New Roman"/>
          <w:sz w:val="24"/>
          <w:szCs w:val="24"/>
        </w:rPr>
      </w:pPr>
      <w:r w:rsidRPr="008A71E2">
        <w:rPr>
          <w:rFonts w:ascii="Times New Roman" w:hAnsi="Times New Roman" w:cs="Times New Roman"/>
          <w:sz w:val="24"/>
          <w:szCs w:val="24"/>
        </w:rPr>
        <w:t>4.4. O Município, quando exigível por força da legislação em vigor, efetuará as retenções dos impostos e contribuições devidos, devendo o fornecedor destacar o valor da retenção na Nota Fiscal, a título de “retenção” para (nome do imposto e ou contribuição), bem como cumprir as determinações contidas em lei.</w:t>
      </w:r>
    </w:p>
    <w:p w:rsidR="00BF4548" w:rsidRPr="008A71E2" w:rsidRDefault="00BF4548" w:rsidP="008013C9">
      <w:pPr>
        <w:spacing w:after="0"/>
        <w:jc w:val="both"/>
        <w:rPr>
          <w:rFonts w:ascii="Times New Roman" w:hAnsi="Times New Roman" w:cs="Times New Roman"/>
          <w:b/>
          <w:sz w:val="24"/>
          <w:szCs w:val="24"/>
        </w:rPr>
      </w:pPr>
      <w:r w:rsidRPr="008A71E2">
        <w:rPr>
          <w:rFonts w:ascii="Times New Roman" w:hAnsi="Times New Roman" w:cs="Times New Roman"/>
          <w:b/>
          <w:sz w:val="24"/>
          <w:szCs w:val="24"/>
        </w:rPr>
        <w:t>CLÁUSULA QUINTA – DAS CONDIÇÕES DE ENTREGA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5.1. O pr</w:t>
      </w:r>
      <w:r w:rsidR="008A71E2" w:rsidRPr="008A71E2">
        <w:rPr>
          <w:rFonts w:ascii="Times New Roman" w:hAnsi="Times New Roman" w:cs="Times New Roman"/>
          <w:sz w:val="24"/>
          <w:szCs w:val="24"/>
        </w:rPr>
        <w:t xml:space="preserve">azo de entrega é de 1 (um) dia </w:t>
      </w:r>
      <w:proofErr w:type="gramStart"/>
      <w:r w:rsidR="008A71E2" w:rsidRPr="008A71E2">
        <w:rPr>
          <w:rFonts w:ascii="Times New Roman" w:hAnsi="Times New Roman" w:cs="Times New Roman"/>
          <w:sz w:val="24"/>
          <w:szCs w:val="24"/>
        </w:rPr>
        <w:t xml:space="preserve">útil, </w:t>
      </w:r>
      <w:r w:rsidRPr="008A71E2">
        <w:rPr>
          <w:rFonts w:ascii="Times New Roman" w:hAnsi="Times New Roman" w:cs="Times New Roman"/>
          <w:sz w:val="24"/>
          <w:szCs w:val="24"/>
        </w:rPr>
        <w:t xml:space="preserve"> contados</w:t>
      </w:r>
      <w:proofErr w:type="gramEnd"/>
      <w:r w:rsidRPr="008A71E2">
        <w:rPr>
          <w:rFonts w:ascii="Times New Roman" w:hAnsi="Times New Roman" w:cs="Times New Roman"/>
          <w:sz w:val="24"/>
          <w:szCs w:val="24"/>
        </w:rPr>
        <w:t xml:space="preserve"> do recebimento da Ordem de Compra.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5.2. Local de entrega: Município de Agronômica.</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sz w:val="24"/>
          <w:szCs w:val="24"/>
        </w:rPr>
      </w:pPr>
      <w:r w:rsidRPr="008A71E2">
        <w:rPr>
          <w:rFonts w:ascii="Times New Roman" w:hAnsi="Times New Roman" w:cs="Times New Roman"/>
          <w:b/>
          <w:sz w:val="24"/>
          <w:szCs w:val="24"/>
        </w:rPr>
        <w:t xml:space="preserve">6. CLÁUSULA SEXTA – DAS PENALIDADES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 Comete infração administrativa, nos termos da Lei nº 14.133, de 2021, o fornecedor que: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a) der causa à inexecução parcial da ata;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b) der causa à inexecução parcial da ata que cause grave dano à Administração ou ao funcionamento dos serviços públicos ou ao interesse coletivo;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c) der causa à inexecução total da ata;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lastRenderedPageBreak/>
        <w:t xml:space="preserve">d) ensejar o retardamento da execução ou da entrega do objeto da contratação sem motivo justificado;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e) apresentar documentação falsa ou prestar declaração falsa durante a execução da ata;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f) praticar ato fraudulento na execução da ata;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g) comportar-se de modo inidôneo ou cometer fraude de qualquer natureza;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 h) praticar ato lesivo previsto no art. 5º da Lei nº 12.846, de 1º de agosto de 2013. </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6.2. Serão aplicadas ao fornecedor que incorrer nas infrações acima descritas as seguintes sanções: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6.2.1. Advertência, quando o fornecedor der causa à inexecução parcial da ata, sempre que não se justificar a imposição de penalidade mais grave;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6.2.2. Impedimento de licitar e contratar, quando praticadas as condutas descritas nas alíneas “b”, “c” e “d” do subitem acima, sempre que não se justificar a imposição de penalidade mais grave;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6.2.3. Declaração de inidoneidade para licitar e contratar, quando praticadas as condutas descritas nas alíneas “e”, “f”, “g” e “h” do subitem acima, bem como nas alíneas “b”, “c” e “d”, que justifiquem a imposição de penalidade mais grave; </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sz w:val="24"/>
          <w:szCs w:val="24"/>
        </w:rPr>
      </w:pPr>
      <w:r w:rsidRPr="008A71E2">
        <w:rPr>
          <w:rFonts w:ascii="Times New Roman" w:hAnsi="Times New Roman" w:cs="Times New Roman"/>
          <w:b/>
          <w:sz w:val="24"/>
          <w:szCs w:val="24"/>
        </w:rPr>
        <w:t xml:space="preserve">6.3. Multa: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6.3.1. </w:t>
      </w:r>
      <w:proofErr w:type="gramStart"/>
      <w:r w:rsidRPr="008A71E2">
        <w:rPr>
          <w:rFonts w:ascii="Times New Roman" w:hAnsi="Times New Roman" w:cs="Times New Roman"/>
          <w:sz w:val="24"/>
          <w:szCs w:val="24"/>
        </w:rPr>
        <w:t>moratória</w:t>
      </w:r>
      <w:proofErr w:type="gramEnd"/>
      <w:r w:rsidRPr="008A71E2">
        <w:rPr>
          <w:rFonts w:ascii="Times New Roman" w:hAnsi="Times New Roman" w:cs="Times New Roman"/>
          <w:sz w:val="24"/>
          <w:szCs w:val="24"/>
        </w:rPr>
        <w:t xml:space="preserve"> de 0,5% (cinco décimos por cento) por dia de atraso injustificado sobre o valor da parcela inadimplida, até o limite de 30 (trinta) dias;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6.3.2. </w:t>
      </w:r>
      <w:proofErr w:type="gramStart"/>
      <w:r w:rsidRPr="008A71E2">
        <w:rPr>
          <w:rFonts w:ascii="Times New Roman" w:hAnsi="Times New Roman" w:cs="Times New Roman"/>
          <w:sz w:val="24"/>
          <w:szCs w:val="24"/>
        </w:rPr>
        <w:t>compensatória</w:t>
      </w:r>
      <w:proofErr w:type="gramEnd"/>
      <w:r w:rsidRPr="008A71E2">
        <w:rPr>
          <w:rFonts w:ascii="Times New Roman" w:hAnsi="Times New Roman" w:cs="Times New Roman"/>
          <w:sz w:val="24"/>
          <w:szCs w:val="24"/>
        </w:rPr>
        <w:t xml:space="preserve"> de 20% (vinte por cento) sobre o valor total da ata, no caso de inexecução total do objeto e demais transgressões elencadas no subitem 6.1.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6.4. A aplicação das sanções previstas nesta ata não exclui, em hipótese alguma, a obrigação de reparação integral do dano causado ao Município.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6.5. Todas as sanções previstas nesta ata poderão ser aplicadas cumulativamente com a multa. 6.6. Antes da aplicação da multa será facultada a defesa do interessado no prazo de 15 (quinze) dias úteis, contado da data de sua intimação.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6.7. Se a multa aplicada e as indenizações cabíveis forem superiores ao valor do pagamento eventualmente devido pelo Município ao fornecedor, além da perda desse valor, a diferença será descontada da garantia prestada, se houver, ou será cobrada judicialmente.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6.8. Previamente ao encaminhamento à cobrança judicial, a multa poderá ser recolhida administrativamente no prazo máximo de 30 (trinta) dias, a contar da data do recebimento da comunicação enviada pela autoridade competente.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6.9. A aplicação das sanções realizar-se-á em processo administrativo que assegure o contraditório e a ampla defesa ao Fornecedor, observando-se o procedimento previsto no caput e parágrafos do art. 158 da Lei nº 14.133, de 2021.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6.10. Na aplicação das sanções serão considerados: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a) a natureza e a gravidade da infração cometida;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b) as peculiaridades do caso concreto;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c) as circunstâncias agravantes ou atenuantes;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d) os danos que dela provierem para o Órgão Gerenciador;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lastRenderedPageBreak/>
        <w:t xml:space="preserve">e) a implantação ou o aperfeiçoamento de programa de integridade, conforme normas e orientações dos órgãos de controle.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6.11.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6.12. A personalidade jurídica do fornecedor poderá ser desconsiderada sempre que utilizada com abuso do direito para facilitar, encobrir ou dissimular a prática dos atos ilícitos previstos nesta ata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fornecedor, observados, em todos os casos, o contraditório, a ampla defesa e a obrigatoriedade de análise jurídica prévia.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6.13. O Município deverá, no prazo máximo de 15 (quinze) dias úteis, contado da data de aplicação da sanção, informar e manter atualizados os dados relativos às sanções por ela aplicadas, para fins de publicidade no Cadastro Nacional de Empresas Inidôneas e Suspensas (</w:t>
      </w:r>
      <w:proofErr w:type="spellStart"/>
      <w:r w:rsidRPr="008A71E2">
        <w:rPr>
          <w:rFonts w:ascii="Times New Roman" w:hAnsi="Times New Roman" w:cs="Times New Roman"/>
          <w:sz w:val="24"/>
          <w:szCs w:val="24"/>
        </w:rPr>
        <w:t>Ceis</w:t>
      </w:r>
      <w:proofErr w:type="spellEnd"/>
      <w:r w:rsidRPr="008A71E2">
        <w:rPr>
          <w:rFonts w:ascii="Times New Roman" w:hAnsi="Times New Roman" w:cs="Times New Roman"/>
          <w:sz w:val="24"/>
          <w:szCs w:val="24"/>
        </w:rPr>
        <w:t>) e no Cadastro Nacional de Empresas Punidas (</w:t>
      </w:r>
      <w:proofErr w:type="spellStart"/>
      <w:r w:rsidRPr="008A71E2">
        <w:rPr>
          <w:rFonts w:ascii="Times New Roman" w:hAnsi="Times New Roman" w:cs="Times New Roman"/>
          <w:sz w:val="24"/>
          <w:szCs w:val="24"/>
        </w:rPr>
        <w:t>Cnep</w:t>
      </w:r>
      <w:proofErr w:type="spellEnd"/>
      <w:r w:rsidRPr="008A71E2">
        <w:rPr>
          <w:rFonts w:ascii="Times New Roman" w:hAnsi="Times New Roman" w:cs="Times New Roman"/>
          <w:sz w:val="24"/>
          <w:szCs w:val="24"/>
        </w:rPr>
        <w:t>), instituídos no âmbito do Poder Executivo Federal.</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6.14. As sanções de impedimento de licitar e contratar e declaração de inidoneidade para licitar ou contratar são passíveis de reabilitação na forma do art. 163 da Lei nº 14.133/21.</w:t>
      </w:r>
    </w:p>
    <w:p w:rsidR="008013C9"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6.15. Os débitos do Fornecedor para com a Administração contratante, resultantes de multa administrativa e/ou indenizações, não inscritos em dívida ativa, poderão ser compensados, total ou parcialmente, com os créditos devidos pelo referido órgão decorrentes desta mesma Ata ou de outros contratos administrativos que o Fornecedor possua com o mesmo órgão ora contratante, na forma da Instrução Normativa SEGES/ME nº 26, de 13 de abril de 2022, ou outra que vier a substituí-la.</w:t>
      </w:r>
    </w:p>
    <w:p w:rsidR="008013C9" w:rsidRPr="008A71E2" w:rsidRDefault="008013C9" w:rsidP="008013C9">
      <w:pPr>
        <w:spacing w:after="0"/>
        <w:jc w:val="both"/>
        <w:rPr>
          <w:rFonts w:ascii="Times New Roman" w:hAnsi="Times New Roman" w:cs="Times New Roman"/>
          <w:sz w:val="24"/>
          <w:szCs w:val="24"/>
        </w:rPr>
      </w:pPr>
    </w:p>
    <w:p w:rsidR="00BF4548" w:rsidRPr="008A71E2" w:rsidRDefault="00BF4548" w:rsidP="008013C9">
      <w:pPr>
        <w:jc w:val="both"/>
        <w:rPr>
          <w:rFonts w:ascii="Times New Roman" w:hAnsi="Times New Roman" w:cs="Times New Roman"/>
          <w:b/>
          <w:bCs/>
          <w:sz w:val="24"/>
          <w:szCs w:val="24"/>
        </w:rPr>
      </w:pPr>
      <w:r w:rsidRPr="008A71E2">
        <w:rPr>
          <w:rFonts w:ascii="Times New Roman" w:hAnsi="Times New Roman" w:cs="Times New Roman"/>
          <w:b/>
          <w:bCs/>
          <w:sz w:val="24"/>
          <w:szCs w:val="24"/>
        </w:rPr>
        <w:t>7. CLÁUSULA SÉTIMA – DO REAJUSTAMENTO E REVISÃO DOS PREÇOS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7.1. Os preços registrados são fixos e irreajustáveis no prazo de um ano contados a partir da data limite para apresentação das propostas.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7.2. Após o interregno de um ano, os preços iniciais poderão ser reajustados, mediante a aplicação do índice INPC (Índices Nacional de Preços ao Consumidor do IBGE), exclusivamente para as obrigações iniciadas e concluídas após a ocorrência da anualidade.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7.3. O reajuste será precedido de solicitação do fornecedor, que deverá ser realizada por meio de e-mail, através do endereço eletrônico </w:t>
      </w:r>
      <w:hyperlink r:id="rId6" w:history="1">
        <w:r w:rsidRPr="008A71E2">
          <w:rPr>
            <w:rStyle w:val="Hyperlink"/>
            <w:rFonts w:ascii="Times New Roman" w:hAnsi="Times New Roman" w:cs="Times New Roman"/>
            <w:sz w:val="24"/>
            <w:szCs w:val="24"/>
          </w:rPr>
          <w:t>licitacao@agronomica.sc.gov.br</w:t>
        </w:r>
      </w:hyperlink>
      <w:r w:rsidRPr="008A71E2">
        <w:rPr>
          <w:rFonts w:ascii="Times New Roman" w:hAnsi="Times New Roman" w:cs="Times New Roman"/>
          <w:sz w:val="24"/>
          <w:szCs w:val="24"/>
        </w:rPr>
        <w:t xml:space="preserve">. </w:t>
      </w:r>
      <w:r w:rsidRPr="008A71E2">
        <w:rPr>
          <w:rFonts w:ascii="Times New Roman" w:hAnsi="Times New Roman" w:cs="Times New Roman"/>
          <w:sz w:val="24"/>
          <w:szCs w:val="24"/>
        </w:rPr>
        <w:tab/>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7.4. A concessão do reajuste de preços deverá ser autorizada pelo gestor da Unidade Demandante.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7.5. Nos reajustes subsequentes ao primeiro, o interregno mínimo de um ano será contado a partir dos efeitos financeiros do último reajuste.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7.6. Quando o termo inicial do interregno de 12 (doze) meses coincidir com o primeiro dia do mês ou no caso de indisponibilidade do índice de reajuste pactuado, será aplicada a </w:t>
      </w:r>
      <w:r w:rsidRPr="008A71E2">
        <w:rPr>
          <w:rFonts w:ascii="Times New Roman" w:hAnsi="Times New Roman" w:cs="Times New Roman"/>
          <w:sz w:val="24"/>
          <w:szCs w:val="24"/>
        </w:rPr>
        <w:lastRenderedPageBreak/>
        <w:t>metodologia de recuo de mês e os reajustes subsequentes ocorrerão nos aniversários seguintes, aplicando-se a variação ocorrida no último período.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7.7. Nas aferições finais, </w:t>
      </w:r>
      <w:proofErr w:type="gramStart"/>
      <w:r w:rsidRPr="008A71E2">
        <w:rPr>
          <w:rFonts w:ascii="Times New Roman" w:hAnsi="Times New Roman" w:cs="Times New Roman"/>
          <w:sz w:val="24"/>
          <w:szCs w:val="24"/>
        </w:rPr>
        <w:t>o(</w:t>
      </w:r>
      <w:proofErr w:type="gramEnd"/>
      <w:r w:rsidRPr="008A71E2">
        <w:rPr>
          <w:rFonts w:ascii="Times New Roman" w:hAnsi="Times New Roman" w:cs="Times New Roman"/>
          <w:sz w:val="24"/>
          <w:szCs w:val="24"/>
        </w:rPr>
        <w:t>s) índice(s) utilizado(s) para reajuste será(</w:t>
      </w:r>
      <w:proofErr w:type="spellStart"/>
      <w:r w:rsidRPr="008A71E2">
        <w:rPr>
          <w:rFonts w:ascii="Times New Roman" w:hAnsi="Times New Roman" w:cs="Times New Roman"/>
          <w:sz w:val="24"/>
          <w:szCs w:val="24"/>
        </w:rPr>
        <w:t>ão</w:t>
      </w:r>
      <w:proofErr w:type="spellEnd"/>
      <w:r w:rsidRPr="008A71E2">
        <w:rPr>
          <w:rFonts w:ascii="Times New Roman" w:hAnsi="Times New Roman" w:cs="Times New Roman"/>
          <w:sz w:val="24"/>
          <w:szCs w:val="24"/>
        </w:rPr>
        <w:t>), obrigatoriamente, o(s) definitivo(s).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7.8. Caso </w:t>
      </w:r>
      <w:proofErr w:type="gramStart"/>
      <w:r w:rsidRPr="008A71E2">
        <w:rPr>
          <w:rFonts w:ascii="Times New Roman" w:hAnsi="Times New Roman" w:cs="Times New Roman"/>
          <w:sz w:val="24"/>
          <w:szCs w:val="24"/>
        </w:rPr>
        <w:t>o(</w:t>
      </w:r>
      <w:proofErr w:type="gramEnd"/>
      <w:r w:rsidRPr="008A71E2">
        <w:rPr>
          <w:rFonts w:ascii="Times New Roman" w:hAnsi="Times New Roman" w:cs="Times New Roman"/>
          <w:sz w:val="24"/>
          <w:szCs w:val="24"/>
        </w:rPr>
        <w:t>s) índice(s) estabelecido(s) para reajustamento venha(m) a ser extinto(s) ou de qualquer forma não possa(m) mais ser utilizado(s), será(</w:t>
      </w:r>
      <w:proofErr w:type="spellStart"/>
      <w:r w:rsidRPr="008A71E2">
        <w:rPr>
          <w:rFonts w:ascii="Times New Roman" w:hAnsi="Times New Roman" w:cs="Times New Roman"/>
          <w:sz w:val="24"/>
          <w:szCs w:val="24"/>
        </w:rPr>
        <w:t>ão</w:t>
      </w:r>
      <w:proofErr w:type="spellEnd"/>
      <w:r w:rsidRPr="008A71E2">
        <w:rPr>
          <w:rFonts w:ascii="Times New Roman" w:hAnsi="Times New Roman" w:cs="Times New Roman"/>
          <w:sz w:val="24"/>
          <w:szCs w:val="24"/>
        </w:rPr>
        <w:t>) adotado(s), em substituição, o(s) que vier(em) a ser determinado(s) pela legislação então em vigor.</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7.9. Na ausência de previsão legal quanto ao índice substituto, as partes elegerão novo índice oficial, para reajustamento do preço do valor remanescente, por meio de termo aditivo.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7.10. Fica assegurado o direito a revisão dos preços avençados, sempre que houver desequilíbrio na equação econômico-financeira firmada, decorrente de força maior, caso fortuito ou fato do príncipe.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7.11. A Administração terá por obrigação acompanhar, por meio do fiscal da Ata, em conjunto com o gestor da Unidade Demandante, auxiliados pela Divisão de Fiscalização de Contratos e Orçamentos, os preços registrados, agindo sempre que o desequilíbrio econômico-financeiro acarretar em ônus ao erário.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7.12. A Administração não agirá de ofício quando o resultado da revisão incorrer em benefício ao fornecedor.</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bCs/>
          <w:sz w:val="24"/>
          <w:szCs w:val="24"/>
        </w:rPr>
      </w:pPr>
      <w:r w:rsidRPr="008A71E2">
        <w:rPr>
          <w:rFonts w:ascii="Times New Roman" w:hAnsi="Times New Roman" w:cs="Times New Roman"/>
          <w:b/>
          <w:bCs/>
          <w:sz w:val="24"/>
          <w:szCs w:val="24"/>
        </w:rPr>
        <w:t>8. CLÁUSULA OITAVA – DO CANCELAMENTO DA ATA DE REGISTRO DE PREÇOS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8.1. O fornecedor terá seu registro cancelado quando: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8.1.1. </w:t>
      </w:r>
      <w:proofErr w:type="gramStart"/>
      <w:r w:rsidRPr="008A71E2">
        <w:rPr>
          <w:rFonts w:ascii="Times New Roman" w:hAnsi="Times New Roman" w:cs="Times New Roman"/>
          <w:sz w:val="24"/>
          <w:szCs w:val="24"/>
        </w:rPr>
        <w:t>descumprir</w:t>
      </w:r>
      <w:proofErr w:type="gramEnd"/>
      <w:r w:rsidRPr="008A71E2">
        <w:rPr>
          <w:rFonts w:ascii="Times New Roman" w:hAnsi="Times New Roman" w:cs="Times New Roman"/>
          <w:sz w:val="24"/>
          <w:szCs w:val="24"/>
        </w:rPr>
        <w:t xml:space="preserve"> as condições da Ata de Registro de Preços;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8.1.2. </w:t>
      </w:r>
      <w:proofErr w:type="gramStart"/>
      <w:r w:rsidRPr="008A71E2">
        <w:rPr>
          <w:rFonts w:ascii="Times New Roman" w:hAnsi="Times New Roman" w:cs="Times New Roman"/>
          <w:sz w:val="24"/>
          <w:szCs w:val="24"/>
        </w:rPr>
        <w:t>não</w:t>
      </w:r>
      <w:proofErr w:type="gramEnd"/>
      <w:r w:rsidRPr="008A71E2">
        <w:rPr>
          <w:rFonts w:ascii="Times New Roman" w:hAnsi="Times New Roman" w:cs="Times New Roman"/>
          <w:sz w:val="24"/>
          <w:szCs w:val="24"/>
        </w:rPr>
        <w:t xml:space="preserve"> retirar a nota de empenho e ou autorização de fornecimento de compra no prazo estabelecido pela Administração, sem justificativa aceitável;</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8.1.3. </w:t>
      </w:r>
      <w:proofErr w:type="gramStart"/>
      <w:r w:rsidRPr="008A71E2">
        <w:rPr>
          <w:rFonts w:ascii="Times New Roman" w:hAnsi="Times New Roman" w:cs="Times New Roman"/>
          <w:sz w:val="24"/>
          <w:szCs w:val="24"/>
        </w:rPr>
        <w:t>não</w:t>
      </w:r>
      <w:proofErr w:type="gramEnd"/>
      <w:r w:rsidRPr="008A71E2">
        <w:rPr>
          <w:rFonts w:ascii="Times New Roman" w:hAnsi="Times New Roman" w:cs="Times New Roman"/>
          <w:sz w:val="24"/>
          <w:szCs w:val="24"/>
        </w:rPr>
        <w:t xml:space="preserve"> aceitar reduzir o seu preço registrado, na hipótese de este se tornar superior àqueles praticados no mercado;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8.1.4. </w:t>
      </w:r>
      <w:proofErr w:type="gramStart"/>
      <w:r w:rsidRPr="008A71E2">
        <w:rPr>
          <w:rFonts w:ascii="Times New Roman" w:hAnsi="Times New Roman" w:cs="Times New Roman"/>
          <w:sz w:val="24"/>
          <w:szCs w:val="24"/>
        </w:rPr>
        <w:t>tiver</w:t>
      </w:r>
      <w:proofErr w:type="gramEnd"/>
      <w:r w:rsidRPr="008A71E2">
        <w:rPr>
          <w:rFonts w:ascii="Times New Roman" w:hAnsi="Times New Roman" w:cs="Times New Roman"/>
          <w:sz w:val="24"/>
          <w:szCs w:val="24"/>
        </w:rPr>
        <w:t xml:space="preserve"> presentes razões de interesse público;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8.1.5. </w:t>
      </w:r>
      <w:proofErr w:type="gramStart"/>
      <w:r w:rsidRPr="008A71E2">
        <w:rPr>
          <w:rFonts w:ascii="Times New Roman" w:hAnsi="Times New Roman" w:cs="Times New Roman"/>
          <w:sz w:val="24"/>
          <w:szCs w:val="24"/>
        </w:rPr>
        <w:t>sofrer</w:t>
      </w:r>
      <w:proofErr w:type="gramEnd"/>
      <w:r w:rsidRPr="008A71E2">
        <w:rPr>
          <w:rFonts w:ascii="Times New Roman" w:hAnsi="Times New Roman" w:cs="Times New Roman"/>
          <w:sz w:val="24"/>
          <w:szCs w:val="24"/>
        </w:rPr>
        <w:t xml:space="preserve"> sanções impeditivas previstas em lei;</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8.1.6. </w:t>
      </w:r>
      <w:proofErr w:type="gramStart"/>
      <w:r w:rsidRPr="008A71E2">
        <w:rPr>
          <w:rFonts w:ascii="Times New Roman" w:hAnsi="Times New Roman" w:cs="Times New Roman"/>
          <w:sz w:val="24"/>
          <w:szCs w:val="24"/>
        </w:rPr>
        <w:t>for</w:t>
      </w:r>
      <w:proofErr w:type="gramEnd"/>
      <w:r w:rsidRPr="008A71E2">
        <w:rPr>
          <w:rFonts w:ascii="Times New Roman" w:hAnsi="Times New Roman" w:cs="Times New Roman"/>
          <w:sz w:val="24"/>
          <w:szCs w:val="24"/>
        </w:rPr>
        <w:t xml:space="preserve"> declarado inidôneo ou impedido de licitar ou contratar com o Município de Agronômica, nos termos do artigo 156, inciso IV, da Lei Federal nº. 14.133, de 2021.</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8.2. O cancelamento do registro de preços, nas hipóteses previstas, assegurados o contraditório e a ampla defesa, serão formalizados por despacho da autoridade competente.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8.3. O cancelamento do registro de preços poderá ocorrer por fato superveniente, decorrente de caso fortuito ou força maior, que prejudique o cumprimento da ata, devidamente comprovados e justificados: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8.3.1. </w:t>
      </w:r>
      <w:proofErr w:type="gramStart"/>
      <w:r w:rsidRPr="008A71E2">
        <w:rPr>
          <w:rFonts w:ascii="Times New Roman" w:hAnsi="Times New Roman" w:cs="Times New Roman"/>
          <w:sz w:val="24"/>
          <w:szCs w:val="24"/>
        </w:rPr>
        <w:t>por</w:t>
      </w:r>
      <w:proofErr w:type="gramEnd"/>
      <w:r w:rsidRPr="008A71E2">
        <w:rPr>
          <w:rFonts w:ascii="Times New Roman" w:hAnsi="Times New Roman" w:cs="Times New Roman"/>
          <w:sz w:val="24"/>
          <w:szCs w:val="24"/>
        </w:rPr>
        <w:t xml:space="preserve"> razão de interesse público; ou</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8.3.2. a pedido do fornecedor, que deverá ser formalizado por meio de protocolo digital, através do endereço eletrônico </w:t>
      </w:r>
      <w:hyperlink r:id="rId7" w:history="1">
        <w:r w:rsidRPr="008A71E2">
          <w:rPr>
            <w:rStyle w:val="Hyperlink"/>
            <w:rFonts w:ascii="Times New Roman" w:hAnsi="Times New Roman" w:cs="Times New Roman"/>
            <w:sz w:val="24"/>
            <w:szCs w:val="24"/>
          </w:rPr>
          <w:t>licitacao@agronomica.sc.gov.br</w:t>
        </w:r>
      </w:hyperlink>
      <w:r w:rsidRPr="008A71E2">
        <w:rPr>
          <w:rFonts w:ascii="Times New Roman" w:hAnsi="Times New Roman" w:cs="Times New Roman"/>
          <w:sz w:val="24"/>
          <w:szCs w:val="24"/>
        </w:rPr>
        <w:t>;</w:t>
      </w:r>
      <w:r w:rsidRPr="008A71E2">
        <w:rPr>
          <w:rFonts w:ascii="Times New Roman" w:hAnsi="Times New Roman" w:cs="Times New Roman"/>
          <w:sz w:val="24"/>
          <w:szCs w:val="24"/>
        </w:rPr>
        <w:tab/>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bCs/>
          <w:sz w:val="24"/>
          <w:szCs w:val="24"/>
        </w:rPr>
      </w:pPr>
      <w:r w:rsidRPr="008A71E2">
        <w:rPr>
          <w:rFonts w:ascii="Times New Roman" w:hAnsi="Times New Roman" w:cs="Times New Roman"/>
          <w:b/>
          <w:bCs/>
          <w:sz w:val="24"/>
          <w:szCs w:val="24"/>
        </w:rPr>
        <w:t>9. CLÁUSULA NONA – DAS OBRIGAÇÕES DO ÓRGÃO GERENCIADOR</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9.1. Exigir o cumprimento de todas as obrigações assumidas pelo Fornecedor, de acordo com a presente ata e seus anexos.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lastRenderedPageBreak/>
        <w:t>9.2. Receber o objeto no prazo e condições estabelecidas.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9.3. Notificar o Fornecedor, por escrito, sobre vícios, defeitos ou incorreções verificadas no objeto fornecido, para que seja por ele substituído, reparado ou corrigido, no total ou em parte, às suas expensas.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9.4. Acompanhar e fiscalizar a execução da ata e o cumprimento das obrigações pelo Fornecedor.</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9.5. Comunicar a empresa para emissão de Nota Fiscal no que </w:t>
      </w:r>
      <w:proofErr w:type="spellStart"/>
      <w:r w:rsidRPr="008A71E2">
        <w:rPr>
          <w:rFonts w:ascii="Times New Roman" w:hAnsi="Times New Roman" w:cs="Times New Roman"/>
          <w:sz w:val="24"/>
          <w:szCs w:val="24"/>
        </w:rPr>
        <w:t>pertine</w:t>
      </w:r>
      <w:proofErr w:type="spellEnd"/>
      <w:r w:rsidRPr="008A71E2">
        <w:rPr>
          <w:rFonts w:ascii="Times New Roman" w:hAnsi="Times New Roman" w:cs="Times New Roman"/>
          <w:sz w:val="24"/>
          <w:szCs w:val="24"/>
        </w:rPr>
        <w:t xml:space="preserve"> à parcela incontroversa da execução do objeto, para efeito de liquidação e pagamento, quando houver controvérsia sobre a execução do objeto, quanto à dimensão, qualidade e quantidade, conforme o art. 143 da Lei nº 14.133, de 2021.</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9.6. Efetuar o pagamento ao Fornecedor do valor correspondente ao fornecimento do objeto, no prazo, forma e condições estabelecidos na presente ata.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9.7. Aplicar ao Fornecedor as sanções previstas na lei e nesta ata.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9.8. Explicitamente emitir decisão sobre todas as solicitações e reclamações relacionadas à execução da presente ata, ressalvados os requerimentos manifestamente impertinentes, meramente protelatórios ou de nenhum interesse para a boa execução do ajuste.</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9.8.1. A Administração terá o prazo de 1 (um) mês, a contar da data do protocolo do requerimento para decidir, admitida a prorrogação motivada, por igual período.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9.9. Responder eventuais pedidos de reestabelecimento do equilíbrio econômico-financeiro feitos pelo Fornecedor no prazo máximo de 1 (um) mês.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9.10. A Administração não responderá por quaisquer compromissos assumidos pelo Fornecedor com terceiros, ainda que vinculados à execução desta ata, bem como por qualquer dano causado a terceiros em decorrência de ato do Fornecedor, de seus empregados, prepostos ou subordinados.</w:t>
      </w:r>
    </w:p>
    <w:p w:rsidR="00BF4548" w:rsidRPr="008A71E2" w:rsidRDefault="00BF4548" w:rsidP="008013C9">
      <w:pPr>
        <w:spacing w:after="0"/>
        <w:jc w:val="both"/>
        <w:rPr>
          <w:rFonts w:ascii="Times New Roman" w:hAnsi="Times New Roman" w:cs="Times New Roman"/>
          <w:b/>
          <w:bCs/>
          <w:sz w:val="24"/>
          <w:szCs w:val="24"/>
        </w:rPr>
      </w:pPr>
    </w:p>
    <w:p w:rsidR="00BF4548" w:rsidRPr="008A71E2" w:rsidRDefault="00BF4548" w:rsidP="008013C9">
      <w:pPr>
        <w:spacing w:after="0"/>
        <w:jc w:val="both"/>
        <w:rPr>
          <w:rFonts w:ascii="Times New Roman" w:hAnsi="Times New Roman" w:cs="Times New Roman"/>
          <w:b/>
          <w:bCs/>
          <w:sz w:val="24"/>
          <w:szCs w:val="24"/>
        </w:rPr>
      </w:pPr>
      <w:r w:rsidRPr="008A71E2">
        <w:rPr>
          <w:rFonts w:ascii="Times New Roman" w:hAnsi="Times New Roman" w:cs="Times New Roman"/>
          <w:b/>
          <w:bCs/>
          <w:sz w:val="24"/>
          <w:szCs w:val="24"/>
        </w:rPr>
        <w:t>10. CLÁUSULA DÉCIMA – DAS OBRIGAÇÕES DO FORNECEDOR</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 Cumprir todas as obrigações constantes desta ata e em seus anexos, assumindo como exclusivamente seus os riscos e as despesas decorrentes da boa e perfeita execução do objeto, observando, ainda, as obrigações a seguir dispostas: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10.2. Responsabilizar-se pelos vícios e danos decorrentes do objeto, de acordo com o Código de Defesa do Consumidor (Lei nº 8.078, de 1990).</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10.3. Comunicar ao Município, no prazo máximo de 24 (vinte e quatro) horas que antecede a data da entrega, os motivos que impossibilitem o cumprimento do prazo previsto, com a devida comprovação.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10.4. Atender às determinações regulares emitidas pelo fiscal ou gestor da ata ou autoridade superior (art. 137, II, da Lei </w:t>
      </w:r>
      <w:proofErr w:type="gramStart"/>
      <w:r w:rsidRPr="008A71E2">
        <w:rPr>
          <w:rFonts w:ascii="Times New Roman" w:hAnsi="Times New Roman" w:cs="Times New Roman"/>
          <w:sz w:val="24"/>
          <w:szCs w:val="24"/>
        </w:rPr>
        <w:t>n.º</w:t>
      </w:r>
      <w:proofErr w:type="gramEnd"/>
      <w:r w:rsidRPr="008A71E2">
        <w:rPr>
          <w:rFonts w:ascii="Times New Roman" w:hAnsi="Times New Roman" w:cs="Times New Roman"/>
          <w:sz w:val="24"/>
          <w:szCs w:val="24"/>
        </w:rPr>
        <w:t xml:space="preserve"> 14.133, de 2021) e prestar todo esclarecimento ou informação por eles solicitados.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10.5. Reparar, corrigir, remover, reconstruir ou substituir, às suas expensas, no total ou em parte, no prazo fixado pelo fiscal da ata, os bens nos quais se verificarem vícios, defeitos ou incorreções resultantes da execução ou dos materiais empregados.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10.6. Responsabilizar-se pelos vícios e danos decorrentes da execução do objeto, bem como por todo e qualquer dano causado à Administração ou terceiros, não reduzindo essa responsabilidade a fiscalização ou o acompanhamento da execução contratual pelo </w:t>
      </w:r>
      <w:r w:rsidRPr="008A71E2">
        <w:rPr>
          <w:rFonts w:ascii="Times New Roman" w:hAnsi="Times New Roman" w:cs="Times New Roman"/>
          <w:sz w:val="24"/>
          <w:szCs w:val="24"/>
        </w:rPr>
        <w:lastRenderedPageBreak/>
        <w:t>Município, que ficará autorizado a descontar dos pagamentos devidos ou da garantia, caso exigida, o valor correspondente aos danos sofridos.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10.7. Entregar ao setor responsável pela fiscalização da ata,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Fornecedor; 4) Certidão de Regularidade do FGTS – CRF; e 5) Certidão Negativa de Débitos Trabalhistas – CNDT.</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10.8. Responsabilizar-se pelo cumprimento de todas as obrigações trabalhistas, previdenciárias, fiscais, comerciais e as demais previstas em legislação específica, cuja inadimplência não transfere a responsabilidade ao Município e não poderá onerar o objeto da ata.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10.9. Comunicar ao fiscal da ata, no prazo de 24 (vinte e quatro) horas, qualquer ocorrência anormal ou acidente que se verifique no local da execução do objeto contratual.</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10.10. Paralisar, por determinação do Município, qualquer atividade que não esteja sendo executada de acordo com a boa técnica ou que ponha em risco a segurança de pessoas ou bens de terceiros.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10.11. Manter durante toda a vigência da ata, em compatibilidade com as obrigações assumidas, todas as condições exigidas para habilitação na licitação.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10.12. Cumprir, durante todo o período de execução da ata, a reserva de cargos prevista em lei para pessoa com deficiência, para reabilitado da Previdência Social ou para aprendiz, bem como as reservas de cargos previstas na legislação.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10.13. Comprovar a reserva de cargos a que se refere a cláusula acima, no prazo fixado pelo fiscal da Ata, com a indicação dos empregados que preencheram as referidas vagas.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10.14. Guardar sigilo sobre todas as informações obtidas em decorrência do cumprimento da Ata.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10.15.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Ata, exceto quando ocorrer algum dos eventos arrolados no art. 124, II, d, da Lei nº 14.133, de 2021.</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10.16. Cumprir, além dos postulados legais vigentes de âmbito federal, estadual ou municipal, as normas de segurança do Município.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10.17. Cumprir integralmente, no que couber, as legislações atinentes ao ramo de atividade por ela desenvolvida, todas as normas, métodos e especificações da ABNT (Associação Brasileira de Normas Técnicas) e da ANVISA (Agência Nacional de Vigilância Sanitária).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10.18. O Fornecedor informará na nota fiscal emitida, quando for o caso, o valor a ser retido a título de INSS, a base de cálculo, bem como a alíquota aplicada a esta base de cálculo.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10.19. O Fornecedor que fizer utilização do Regime Especial de Reintegração de Valores Tributários instituído pela Lei Federal Nº 12.546/2011, destacará na nota fiscal emitida, a alíquota, a base de cálculo e o valor a ser retido a título de INSS.</w:t>
      </w:r>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spacing w:after="0"/>
        <w:jc w:val="both"/>
        <w:rPr>
          <w:rFonts w:ascii="Times New Roman" w:hAnsi="Times New Roman" w:cs="Times New Roman"/>
          <w:b/>
          <w:bCs/>
          <w:sz w:val="24"/>
          <w:szCs w:val="24"/>
        </w:rPr>
      </w:pPr>
      <w:r w:rsidRPr="008A71E2">
        <w:rPr>
          <w:rFonts w:ascii="Times New Roman" w:hAnsi="Times New Roman" w:cs="Times New Roman"/>
          <w:b/>
          <w:bCs/>
          <w:sz w:val="24"/>
          <w:szCs w:val="24"/>
        </w:rPr>
        <w:lastRenderedPageBreak/>
        <w:t>11. CLÁUSULA DÉCIMA PRIMEIRA – DAS OBRIGAÇÕES PERTINENTES À LGPD</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11.1. As Partes declaram estar cientes do inteiro teor da Lei </w:t>
      </w:r>
      <w:proofErr w:type="gramStart"/>
      <w:r w:rsidRPr="008A71E2">
        <w:rPr>
          <w:rFonts w:ascii="Times New Roman" w:hAnsi="Times New Roman" w:cs="Times New Roman"/>
          <w:sz w:val="24"/>
          <w:szCs w:val="24"/>
        </w:rPr>
        <w:t>n.º</w:t>
      </w:r>
      <w:proofErr w:type="gramEnd"/>
      <w:r w:rsidRPr="008A71E2">
        <w:rPr>
          <w:rFonts w:ascii="Times New Roman" w:hAnsi="Times New Roman" w:cs="Times New Roman"/>
          <w:sz w:val="24"/>
          <w:szCs w:val="24"/>
        </w:rPr>
        <w:t xml:space="preserve"> 13.709/2018 (“Lei Geral de Proteção de Dados” ou “LGPD”) e obrigam-se a observar e respeitar o dever de proteção de Dados Pessoais, inclusive nos meios digitais, no que diz respeito ao adequado Tratamento de tais dados, devendo ainda, se comprometer a cumprir todas as condições e obrigações dispostas na referida LGPD e demais leis aplicáveis.</w:t>
      </w:r>
    </w:p>
    <w:p w:rsidR="00BF4548" w:rsidRPr="008A71E2" w:rsidRDefault="00BF4548" w:rsidP="008013C9">
      <w:pPr>
        <w:spacing w:after="0"/>
        <w:jc w:val="both"/>
        <w:rPr>
          <w:rFonts w:ascii="Times New Roman" w:hAnsi="Times New Roman" w:cs="Times New Roman"/>
          <w:b/>
          <w:bCs/>
          <w:sz w:val="24"/>
          <w:szCs w:val="24"/>
        </w:rPr>
      </w:pPr>
    </w:p>
    <w:p w:rsidR="00BF4548" w:rsidRPr="008A71E2" w:rsidRDefault="00BF4548" w:rsidP="008013C9">
      <w:pPr>
        <w:spacing w:after="0"/>
        <w:jc w:val="both"/>
        <w:rPr>
          <w:rFonts w:ascii="Times New Roman" w:hAnsi="Times New Roman" w:cs="Times New Roman"/>
          <w:b/>
          <w:bCs/>
          <w:sz w:val="24"/>
          <w:szCs w:val="24"/>
        </w:rPr>
      </w:pPr>
      <w:r w:rsidRPr="008A71E2">
        <w:rPr>
          <w:rFonts w:ascii="Times New Roman" w:hAnsi="Times New Roman" w:cs="Times New Roman"/>
          <w:b/>
          <w:bCs/>
          <w:sz w:val="24"/>
          <w:szCs w:val="24"/>
        </w:rPr>
        <w:t>12. CLÁUSULA DÉCIMA SEGUNDA – DAS DISPOSIÇÕES FINAIS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12.1. Vinculam esta ata, independentemente de transcrição: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12.1.1. O Termo de Referência;</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12.1.2. O Edital da Licitação;</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12.1.3. A Proposta do Fornecedor;</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12.1.4. Eventuais anexos dos documentos supracitados.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12.2. Os casos omissos serão decididos pelo Órgão Gerenciador, segundo as disposições contidas na Lei nº 14.133, de 2021, e demais normas aplicáveis e, subsidiariamente, segundo as disposições contidas na Lei nº 8.078, de 1990 – Código de Defesa do Consumidor – e normas e princípios gerais dos contratos.</w:t>
      </w:r>
    </w:p>
    <w:p w:rsidR="00BF4548" w:rsidRPr="008A71E2" w:rsidRDefault="00BF4548"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12.3. Fica eleito o Foro da Comarca de Rio do Sul/SC para dirimir os litígios que decorrerem</w:t>
      </w:r>
    </w:p>
    <w:p w:rsidR="00BF4548" w:rsidRPr="008A71E2" w:rsidRDefault="00BF4548" w:rsidP="008013C9">
      <w:pPr>
        <w:spacing w:after="0"/>
        <w:jc w:val="both"/>
        <w:rPr>
          <w:rFonts w:ascii="Times New Roman" w:hAnsi="Times New Roman" w:cs="Times New Roman"/>
          <w:sz w:val="24"/>
          <w:szCs w:val="24"/>
        </w:rPr>
      </w:pPr>
      <w:proofErr w:type="gramStart"/>
      <w:r w:rsidRPr="008A71E2">
        <w:rPr>
          <w:rFonts w:ascii="Times New Roman" w:hAnsi="Times New Roman" w:cs="Times New Roman"/>
          <w:sz w:val="24"/>
          <w:szCs w:val="24"/>
        </w:rPr>
        <w:t>da</w:t>
      </w:r>
      <w:proofErr w:type="gramEnd"/>
      <w:r w:rsidRPr="008A71E2">
        <w:rPr>
          <w:rFonts w:ascii="Times New Roman" w:hAnsi="Times New Roman" w:cs="Times New Roman"/>
          <w:sz w:val="24"/>
          <w:szCs w:val="24"/>
        </w:rPr>
        <w:t xml:space="preserve"> execução desta ata que não puderem ser compostos pela conciliação, conforme art. 92, §1º,</w:t>
      </w:r>
    </w:p>
    <w:p w:rsidR="00BF4548" w:rsidRPr="008A71E2" w:rsidRDefault="00BF4548" w:rsidP="008013C9">
      <w:pPr>
        <w:spacing w:after="0"/>
        <w:jc w:val="both"/>
        <w:rPr>
          <w:rFonts w:ascii="Times New Roman" w:hAnsi="Times New Roman" w:cs="Times New Roman"/>
          <w:sz w:val="24"/>
          <w:szCs w:val="24"/>
        </w:rPr>
      </w:pPr>
      <w:proofErr w:type="gramStart"/>
      <w:r w:rsidRPr="008A71E2">
        <w:rPr>
          <w:rFonts w:ascii="Times New Roman" w:hAnsi="Times New Roman" w:cs="Times New Roman"/>
          <w:sz w:val="24"/>
          <w:szCs w:val="24"/>
        </w:rPr>
        <w:t>da</w:t>
      </w:r>
      <w:proofErr w:type="gramEnd"/>
      <w:r w:rsidRPr="008A71E2">
        <w:rPr>
          <w:rFonts w:ascii="Times New Roman" w:hAnsi="Times New Roman" w:cs="Times New Roman"/>
          <w:sz w:val="24"/>
          <w:szCs w:val="24"/>
        </w:rPr>
        <w:t xml:space="preserve"> Lei nº 14.133/21.</w:t>
      </w:r>
    </w:p>
    <w:p w:rsidR="00BF4548" w:rsidRPr="008A71E2" w:rsidRDefault="00BF4548" w:rsidP="008013C9">
      <w:pPr>
        <w:spacing w:after="0"/>
        <w:jc w:val="both"/>
        <w:rPr>
          <w:rFonts w:ascii="Times New Roman" w:hAnsi="Times New Roman" w:cs="Times New Roman"/>
          <w:sz w:val="24"/>
          <w:szCs w:val="24"/>
        </w:rPr>
      </w:pPr>
    </w:p>
    <w:p w:rsidR="008013C9" w:rsidRPr="008A71E2" w:rsidRDefault="008013C9" w:rsidP="008013C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imes New Roman" w:hAnsi="Times New Roman" w:cs="Times New Roman"/>
          <w:sz w:val="24"/>
          <w:szCs w:val="24"/>
        </w:rPr>
      </w:pPr>
      <w:r w:rsidRPr="008A71E2">
        <w:rPr>
          <w:rFonts w:ascii="Times New Roman" w:hAnsi="Times New Roman" w:cs="Times New Roman"/>
          <w:sz w:val="24"/>
          <w:szCs w:val="24"/>
        </w:rPr>
        <w:t>Agronômica-Santa Catarina, 4 de novembro de 2026.</w:t>
      </w:r>
    </w:p>
    <w:p w:rsidR="008013C9" w:rsidRPr="008A71E2" w:rsidRDefault="008A71E2" w:rsidP="008013C9">
      <w:pPr>
        <w:rPr>
          <w:rFonts w:ascii="Times New Roman" w:hAnsi="Times New Roman" w:cs="Times New Roman"/>
          <w:sz w:val="24"/>
          <w:szCs w:val="24"/>
        </w:rPr>
      </w:pPr>
      <w:r w:rsidRPr="008A71E2">
        <w:rPr>
          <w:rFonts w:ascii="Times New Roman" w:hAnsi="Times New Roman" w:cs="Times New Roman"/>
          <w:sz w:val="24"/>
          <w:szCs w:val="24"/>
        </w:rPr>
        <w:t xml:space="preserve"> </w:t>
      </w:r>
    </w:p>
    <w:p w:rsidR="008A71E2" w:rsidRPr="008A71E2" w:rsidRDefault="008A71E2" w:rsidP="008013C9">
      <w:pPr>
        <w:rPr>
          <w:rFonts w:ascii="Times New Roman" w:hAnsi="Times New Roman" w:cs="Times New Roman"/>
          <w:sz w:val="24"/>
          <w:szCs w:val="24"/>
        </w:rPr>
      </w:pPr>
    </w:p>
    <w:p w:rsidR="008A71E2" w:rsidRPr="008A71E2" w:rsidRDefault="008A71E2" w:rsidP="008A71E2">
      <w:pPr>
        <w:rPr>
          <w:rFonts w:ascii="Times New Roman" w:hAnsi="Times New Roman" w:cs="Times New Roman"/>
          <w:sz w:val="24"/>
          <w:szCs w:val="24"/>
        </w:rPr>
      </w:pPr>
      <w:r w:rsidRPr="008A71E2">
        <w:rPr>
          <w:rFonts w:ascii="Times New Roman" w:hAnsi="Times New Roman" w:cs="Times New Roman"/>
          <w:sz w:val="24"/>
          <w:szCs w:val="24"/>
        </w:rPr>
        <w:t xml:space="preserve">______________________                      </w:t>
      </w:r>
      <w:r>
        <w:rPr>
          <w:rFonts w:ascii="Times New Roman" w:hAnsi="Times New Roman" w:cs="Times New Roman"/>
          <w:sz w:val="24"/>
          <w:szCs w:val="24"/>
        </w:rPr>
        <w:t xml:space="preserve">              </w:t>
      </w:r>
      <w:r w:rsidRPr="008A71E2">
        <w:rPr>
          <w:rFonts w:ascii="Times New Roman" w:hAnsi="Times New Roman" w:cs="Times New Roman"/>
          <w:sz w:val="24"/>
          <w:szCs w:val="24"/>
        </w:rPr>
        <w:t>_________________</w:t>
      </w:r>
      <w:r>
        <w:rPr>
          <w:rFonts w:ascii="Times New Roman" w:hAnsi="Times New Roman" w:cs="Times New Roman"/>
          <w:sz w:val="24"/>
          <w:szCs w:val="24"/>
        </w:rPr>
        <w:t>______</w:t>
      </w:r>
      <w:bookmarkStart w:id="0" w:name="_GoBack"/>
      <w:bookmarkEnd w:id="0"/>
    </w:p>
    <w:p w:rsidR="00BF4548" w:rsidRPr="008A71E2" w:rsidRDefault="008A71E2"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EDINALDO FERNANDES                                   </w:t>
      </w:r>
      <w:r w:rsidRPr="008A71E2">
        <w:rPr>
          <w:rFonts w:ascii="Times New Roman" w:hAnsi="Times New Roman" w:cs="Times New Roman"/>
          <w:sz w:val="24"/>
          <w:szCs w:val="24"/>
        </w:rPr>
        <w:t xml:space="preserve">ANDREINI CESAR LOHN - ME </w:t>
      </w:r>
      <w:r w:rsidRPr="008A71E2">
        <w:rPr>
          <w:rFonts w:ascii="Times New Roman" w:hAnsi="Times New Roman" w:cs="Times New Roman"/>
          <w:sz w:val="24"/>
          <w:szCs w:val="24"/>
        </w:rPr>
        <w:t xml:space="preserve">       </w:t>
      </w:r>
    </w:p>
    <w:p w:rsidR="008A71E2" w:rsidRPr="008A71E2" w:rsidRDefault="008A71E2" w:rsidP="008013C9">
      <w:pPr>
        <w:spacing w:after="0"/>
        <w:jc w:val="both"/>
        <w:rPr>
          <w:rFonts w:ascii="Times New Roman" w:hAnsi="Times New Roman" w:cs="Times New Roman"/>
          <w:sz w:val="24"/>
          <w:szCs w:val="24"/>
        </w:rPr>
      </w:pPr>
      <w:r w:rsidRPr="008A71E2">
        <w:rPr>
          <w:rFonts w:ascii="Times New Roman" w:hAnsi="Times New Roman" w:cs="Times New Roman"/>
          <w:sz w:val="24"/>
          <w:szCs w:val="24"/>
        </w:rPr>
        <w:t xml:space="preserve">Presidente da Câmara                                             </w:t>
      </w:r>
      <w:proofErr w:type="gramStart"/>
      <w:r w:rsidRPr="008A71E2">
        <w:rPr>
          <w:rFonts w:ascii="Times New Roman" w:hAnsi="Times New Roman" w:cs="Times New Roman"/>
          <w:sz w:val="24"/>
          <w:szCs w:val="24"/>
        </w:rPr>
        <w:t xml:space="preserve"> Contratado</w:t>
      </w:r>
      <w:proofErr w:type="gramEnd"/>
    </w:p>
    <w:p w:rsidR="00BF4548" w:rsidRPr="008A71E2" w:rsidRDefault="00BF4548" w:rsidP="008013C9">
      <w:pPr>
        <w:spacing w:after="0"/>
        <w:jc w:val="both"/>
        <w:rPr>
          <w:rFonts w:ascii="Times New Roman" w:hAnsi="Times New Roman" w:cs="Times New Roman"/>
          <w:sz w:val="24"/>
          <w:szCs w:val="24"/>
        </w:rPr>
      </w:pPr>
    </w:p>
    <w:p w:rsidR="00BF4548" w:rsidRPr="008A71E2" w:rsidRDefault="00BF4548" w:rsidP="008013C9">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sz w:val="24"/>
          <w:szCs w:val="24"/>
        </w:rPr>
      </w:pPr>
    </w:p>
    <w:p w:rsidR="00BF4548" w:rsidRPr="008A71E2" w:rsidRDefault="00BF4548" w:rsidP="008013C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sz w:val="24"/>
          <w:szCs w:val="24"/>
        </w:rPr>
      </w:pPr>
    </w:p>
    <w:p w:rsidR="00BF4548" w:rsidRPr="008A71E2" w:rsidRDefault="00BF4548" w:rsidP="008013C9">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jc w:val="both"/>
        <w:rPr>
          <w:rFonts w:ascii="Times New Roman" w:hAnsi="Times New Roman" w:cs="Times New Roman"/>
          <w:sz w:val="24"/>
          <w:szCs w:val="24"/>
        </w:rPr>
      </w:pPr>
    </w:p>
    <w:p w:rsidR="00BF4548" w:rsidRDefault="00BF4548" w:rsidP="008013C9"/>
    <w:sectPr w:rsidR="00BF4548" w:rsidSect="008013C9">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3A2" w:rsidRDefault="00B533A2" w:rsidP="00BF4548">
      <w:pPr>
        <w:spacing w:after="0" w:line="240" w:lineRule="auto"/>
      </w:pPr>
      <w:r>
        <w:separator/>
      </w:r>
    </w:p>
  </w:endnote>
  <w:endnote w:type="continuationSeparator" w:id="0">
    <w:p w:rsidR="00B533A2" w:rsidRDefault="00B533A2" w:rsidP="00BF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3A2" w:rsidRDefault="00B533A2" w:rsidP="00BF4548">
      <w:pPr>
        <w:spacing w:after="0" w:line="240" w:lineRule="auto"/>
      </w:pPr>
      <w:r>
        <w:separator/>
      </w:r>
    </w:p>
  </w:footnote>
  <w:footnote w:type="continuationSeparator" w:id="0">
    <w:p w:rsidR="00B533A2" w:rsidRDefault="00B533A2" w:rsidP="00BF45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815AD"/>
    <w:rsid w:val="000054A3"/>
    <w:rsid w:val="000C434B"/>
    <w:rsid w:val="002647C3"/>
    <w:rsid w:val="002E6205"/>
    <w:rsid w:val="0035322B"/>
    <w:rsid w:val="003E6FF3"/>
    <w:rsid w:val="004E5201"/>
    <w:rsid w:val="007D138B"/>
    <w:rsid w:val="008013C9"/>
    <w:rsid w:val="00844D1E"/>
    <w:rsid w:val="008A71E2"/>
    <w:rsid w:val="008C0D4F"/>
    <w:rsid w:val="009C1DF5"/>
    <w:rsid w:val="00A2355A"/>
    <w:rsid w:val="00A33F38"/>
    <w:rsid w:val="00AA69C6"/>
    <w:rsid w:val="00B533A2"/>
    <w:rsid w:val="00BF4548"/>
    <w:rsid w:val="00C4633A"/>
    <w:rsid w:val="00C73AC6"/>
    <w:rsid w:val="00CF7151"/>
    <w:rsid w:val="00D815AD"/>
    <w:rsid w:val="00DD31D1"/>
    <w:rsid w:val="00EC5FDD"/>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FF089"/>
  <w15:docId w15:val="{D4D7C02B-F19E-4441-A88F-A4FB025A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F454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F4548"/>
  </w:style>
  <w:style w:type="paragraph" w:styleId="Rodap">
    <w:name w:val="footer"/>
    <w:basedOn w:val="Normal"/>
    <w:link w:val="RodapChar"/>
    <w:uiPriority w:val="99"/>
    <w:unhideWhenUsed/>
    <w:rsid w:val="00BF4548"/>
    <w:pPr>
      <w:tabs>
        <w:tab w:val="center" w:pos="4252"/>
        <w:tab w:val="right" w:pos="8504"/>
      </w:tabs>
      <w:spacing w:after="0" w:line="240" w:lineRule="auto"/>
    </w:pPr>
  </w:style>
  <w:style w:type="character" w:customStyle="1" w:styleId="RodapChar">
    <w:name w:val="Rodapé Char"/>
    <w:basedOn w:val="Fontepargpadro"/>
    <w:link w:val="Rodap"/>
    <w:uiPriority w:val="99"/>
    <w:rsid w:val="00BF4548"/>
  </w:style>
  <w:style w:type="character" w:customStyle="1" w:styleId="TtuloChar">
    <w:name w:val="Título Char"/>
    <w:basedOn w:val="Fontepargpadro"/>
    <w:link w:val="Ttulo"/>
    <w:qFormat/>
    <w:rsid w:val="00BF4548"/>
    <w:rPr>
      <w:rFonts w:asciiTheme="majorHAnsi" w:eastAsiaTheme="majorEastAsia" w:hAnsiTheme="majorHAnsi" w:cs="Mangal"/>
      <w:color w:val="17365D" w:themeColor="text2" w:themeShade="BF"/>
      <w:spacing w:val="5"/>
      <w:sz w:val="52"/>
      <w:szCs w:val="47"/>
      <w:lang w:eastAsia="zh-CN" w:bidi="hi-IN"/>
    </w:rPr>
  </w:style>
  <w:style w:type="paragraph" w:styleId="Ttulo">
    <w:name w:val="Title"/>
    <w:basedOn w:val="Normal"/>
    <w:next w:val="Corpodetexto"/>
    <w:link w:val="TtuloChar"/>
    <w:qFormat/>
    <w:rsid w:val="00BF4548"/>
    <w:pPr>
      <w:widowControl w:val="0"/>
      <w:pBdr>
        <w:bottom w:val="single" w:sz="8" w:space="4" w:color="4F81BD"/>
      </w:pBdr>
      <w:suppressAutoHyphens/>
      <w:spacing w:after="300" w:line="240" w:lineRule="auto"/>
      <w:contextualSpacing/>
    </w:pPr>
    <w:rPr>
      <w:rFonts w:asciiTheme="majorHAnsi" w:eastAsiaTheme="majorEastAsia" w:hAnsiTheme="majorHAnsi" w:cs="Mangal"/>
      <w:color w:val="17365D" w:themeColor="text2" w:themeShade="BF"/>
      <w:spacing w:val="5"/>
      <w:sz w:val="52"/>
      <w:szCs w:val="47"/>
      <w:lang w:eastAsia="zh-CN" w:bidi="hi-IN"/>
    </w:rPr>
  </w:style>
  <w:style w:type="character" w:customStyle="1" w:styleId="TtuloChar1">
    <w:name w:val="Título Char1"/>
    <w:basedOn w:val="Fontepargpadro"/>
    <w:uiPriority w:val="10"/>
    <w:rsid w:val="00BF4548"/>
    <w:rPr>
      <w:rFonts w:asciiTheme="majorHAnsi" w:eastAsiaTheme="majorEastAsia" w:hAnsiTheme="majorHAnsi" w:cstheme="majorBidi"/>
      <w:color w:val="17365D" w:themeColor="text2" w:themeShade="BF"/>
      <w:spacing w:val="5"/>
      <w:kern w:val="28"/>
      <w:sz w:val="52"/>
      <w:szCs w:val="52"/>
    </w:rPr>
  </w:style>
  <w:style w:type="paragraph" w:customStyle="1" w:styleId="Textopadro">
    <w:name w:val="Texto padrão"/>
    <w:basedOn w:val="Normal"/>
    <w:qFormat/>
    <w:rsid w:val="00BF4548"/>
    <w:pPr>
      <w:widowControl w:val="0"/>
      <w:suppressAutoHyphens/>
      <w:spacing w:after="0" w:line="240" w:lineRule="auto"/>
    </w:pPr>
    <w:rPr>
      <w:rFonts w:ascii="Liberation Serif" w:eastAsia="Arial Unicode MS" w:hAnsi="Liberation Serif" w:cs="Mangal"/>
      <w:color w:val="00000A"/>
      <w:kern w:val="2"/>
      <w:sz w:val="24"/>
      <w:szCs w:val="24"/>
      <w:lang w:eastAsia="zh-CN" w:bidi="hi-IN"/>
    </w:rPr>
  </w:style>
  <w:style w:type="paragraph" w:styleId="Corpodetexto">
    <w:name w:val="Body Text"/>
    <w:basedOn w:val="Normal"/>
    <w:link w:val="CorpodetextoChar"/>
    <w:uiPriority w:val="99"/>
    <w:semiHidden/>
    <w:unhideWhenUsed/>
    <w:rsid w:val="00BF4548"/>
    <w:pPr>
      <w:spacing w:after="120"/>
    </w:pPr>
  </w:style>
  <w:style w:type="character" w:customStyle="1" w:styleId="CorpodetextoChar">
    <w:name w:val="Corpo de texto Char"/>
    <w:basedOn w:val="Fontepargpadro"/>
    <w:link w:val="Corpodetexto"/>
    <w:uiPriority w:val="99"/>
    <w:semiHidden/>
    <w:rsid w:val="00BF4548"/>
  </w:style>
  <w:style w:type="character" w:styleId="Hyperlink">
    <w:name w:val="Hyperlink"/>
    <w:basedOn w:val="Fontepargpadro"/>
    <w:uiPriority w:val="99"/>
    <w:unhideWhenUsed/>
    <w:rsid w:val="00BF45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citacao@agronomica.sc.gov.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citacao@agronomica.sc.gov.b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17</Pages>
  <Words>4040</Words>
  <Characters>21819</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cp:lastModifiedBy>
  <cp:revision>4</cp:revision>
  <dcterms:created xsi:type="dcterms:W3CDTF">2012-02-02T18:33:00Z</dcterms:created>
  <dcterms:modified xsi:type="dcterms:W3CDTF">2026-11-04T15:43:00Z</dcterms:modified>
</cp:coreProperties>
</file>